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054CA" w14:textId="77777777" w:rsidR="002A45F3" w:rsidRPr="002A45F3" w:rsidRDefault="002A45F3" w:rsidP="00A83F80">
      <w:pPr>
        <w:spacing w:after="0"/>
        <w:jc w:val="center"/>
        <w:rPr>
          <w:rFonts w:ascii="Arial" w:hAnsi="Arial" w:cs="Arial"/>
          <w:b/>
        </w:rPr>
      </w:pPr>
    </w:p>
    <w:p w14:paraId="7ED7239A" w14:textId="77777777" w:rsidR="002A45F3" w:rsidRPr="002A45F3" w:rsidRDefault="002A45F3" w:rsidP="00A83F80">
      <w:pPr>
        <w:spacing w:after="0"/>
        <w:jc w:val="center"/>
        <w:rPr>
          <w:rFonts w:ascii="Arial" w:hAnsi="Arial" w:cs="Arial"/>
          <w:b/>
        </w:rPr>
      </w:pPr>
    </w:p>
    <w:p w14:paraId="02ABB67D" w14:textId="6C02C67A" w:rsidR="00DE5158" w:rsidRPr="00DE5158" w:rsidRDefault="00DE5158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  <w:r w:rsidRPr="00DE5158"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  <w:t>OBRAZLOŽENJE FINANCIJSKOG PLANA ZA 202</w:t>
      </w:r>
      <w:r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  <w:t>6</w:t>
      </w:r>
      <w:r w:rsidRPr="00DE5158"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  <w:t xml:space="preserve">. GODINU </w:t>
      </w:r>
    </w:p>
    <w:p w14:paraId="108492CF" w14:textId="01FE07A2" w:rsidR="00DE5158" w:rsidRDefault="00DE5158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</w:p>
    <w:p w14:paraId="09777DD7" w14:textId="4823461F" w:rsidR="00040F64" w:rsidRDefault="00040F64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</w:p>
    <w:p w14:paraId="0C45F9C2" w14:textId="738B3E3F" w:rsidR="00040F64" w:rsidRDefault="00040F64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</w:p>
    <w:p w14:paraId="3FDFEE9F" w14:textId="0CD22DCB" w:rsidR="00040F64" w:rsidRDefault="00040F64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</w:p>
    <w:p w14:paraId="76338B07" w14:textId="326973EB" w:rsidR="00040F64" w:rsidRDefault="00040F64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</w:p>
    <w:p w14:paraId="1290D943" w14:textId="59EB9F7A" w:rsidR="00040F64" w:rsidRDefault="00040F64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</w:p>
    <w:p w14:paraId="3F51F7BE" w14:textId="469A077E" w:rsidR="00040F64" w:rsidRDefault="00040F64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</w:p>
    <w:p w14:paraId="1E1E53F4" w14:textId="0C876FB1" w:rsidR="00040F64" w:rsidRDefault="00040F64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</w:p>
    <w:p w14:paraId="1628F8F2" w14:textId="3CE3117D" w:rsidR="00040F64" w:rsidRDefault="00040F64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</w:p>
    <w:p w14:paraId="6E22BD60" w14:textId="45C80B54" w:rsidR="00040F64" w:rsidRDefault="00040F64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</w:p>
    <w:p w14:paraId="26676E4F" w14:textId="77777777" w:rsidR="00040F64" w:rsidRPr="00DE5158" w:rsidRDefault="00040F64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2"/>
          <w:szCs w:val="42"/>
          <w:lang w:eastAsia="hr-HR"/>
        </w:rPr>
      </w:pPr>
    </w:p>
    <w:p w14:paraId="4900C7EC" w14:textId="77777777" w:rsidR="00DE5158" w:rsidRPr="00DE5158" w:rsidRDefault="00DE5158" w:rsidP="00DE5158">
      <w:pPr>
        <w:spacing w:after="0" w:line="259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hr-HR"/>
        </w:rPr>
      </w:pPr>
    </w:p>
    <w:p w14:paraId="3E028678" w14:textId="77777777" w:rsidR="00DE5158" w:rsidRPr="00DE5158" w:rsidRDefault="00DE5158" w:rsidP="00DE5158">
      <w:pPr>
        <w:spacing w:after="0" w:line="259" w:lineRule="auto"/>
        <w:rPr>
          <w:rFonts w:ascii="Times New Roman" w:eastAsia="Times New Roman" w:hAnsi="Times New Roman" w:cs="Times New Roman"/>
          <w:b/>
          <w:i/>
          <w:color w:val="000000"/>
          <w:sz w:val="38"/>
          <w:szCs w:val="38"/>
          <w:lang w:eastAsia="hr-HR"/>
        </w:rPr>
      </w:pPr>
    </w:p>
    <w:p w14:paraId="01ED8C5A" w14:textId="77777777" w:rsidR="00DE5158" w:rsidRPr="00DE5158" w:rsidRDefault="00DE5158" w:rsidP="00DE5158">
      <w:pPr>
        <w:spacing w:after="0" w:line="259" w:lineRule="auto"/>
        <w:jc w:val="center"/>
        <w:rPr>
          <w:rFonts w:ascii="Times New Roman" w:eastAsia="Times New Roman" w:hAnsi="Times New Roman" w:cs="Times New Roman"/>
          <w:i/>
          <w:color w:val="FF0000"/>
          <w:sz w:val="38"/>
          <w:szCs w:val="38"/>
          <w:u w:val="single"/>
          <w:lang w:eastAsia="hr-HR"/>
        </w:rPr>
      </w:pPr>
      <w:r w:rsidRPr="00DE5158">
        <w:rPr>
          <w:rFonts w:ascii="Times New Roman" w:eastAsia="Times New Roman" w:hAnsi="Times New Roman" w:cs="Times New Roman"/>
          <w:i/>
          <w:color w:val="FF0000"/>
          <w:sz w:val="38"/>
          <w:szCs w:val="38"/>
          <w:u w:val="single"/>
          <w:lang w:eastAsia="hr-HR"/>
        </w:rPr>
        <w:t>OSNOVNA ŠKOLA MARINA GETALDIĆA</w:t>
      </w:r>
    </w:p>
    <w:p w14:paraId="579A2892" w14:textId="43E967FD" w:rsidR="002A45F3" w:rsidRDefault="002A45F3" w:rsidP="00A83F80">
      <w:pPr>
        <w:spacing w:after="0"/>
        <w:jc w:val="center"/>
        <w:rPr>
          <w:rFonts w:ascii="Arial" w:hAnsi="Arial" w:cs="Arial"/>
          <w:b/>
          <w:iCs/>
        </w:rPr>
      </w:pPr>
    </w:p>
    <w:p w14:paraId="6C473E8F" w14:textId="0437D223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6C8548A0" w14:textId="50402001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4718A632" w14:textId="17ACB238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573DD0F4" w14:textId="79860CD5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26A752AC" w14:textId="7F75E3E6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68B4DA86" w14:textId="7D303D23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3EA66E96" w14:textId="6AD9BC71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3E1F26A6" w14:textId="4C1A81D9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3734FD4D" w14:textId="06E65223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4CE9B00D" w14:textId="3C13CA6D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5E497A0F" w14:textId="43DC6FB6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7AB65FEC" w14:textId="418AD386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05E1A003" w14:textId="3BC44EE2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75130BFD" w14:textId="76BFEB95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3BBDAAF1" w14:textId="7653A41B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01CBA7BC" w14:textId="7CEE7796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636EC0B6" w14:textId="2AE3E368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0397C5BB" w14:textId="70894C34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5E3D6CB6" w14:textId="75806BD7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5AB5FC42" w14:textId="129B5236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6BAD9A1C" w14:textId="7DFE22B9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19870B78" w14:textId="6CCFC299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796956C6" w14:textId="5932D90C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6C07CADA" w14:textId="77777777" w:rsidR="00040F64" w:rsidRDefault="00040F64" w:rsidP="00A83F80">
      <w:pPr>
        <w:spacing w:after="0"/>
        <w:jc w:val="center"/>
        <w:rPr>
          <w:rFonts w:ascii="Arial" w:hAnsi="Arial" w:cs="Arial"/>
          <w:b/>
        </w:rPr>
      </w:pPr>
    </w:p>
    <w:p w14:paraId="25C99BE4" w14:textId="426E4ECC" w:rsidR="00DE5158" w:rsidRDefault="00DE5158" w:rsidP="00F06087">
      <w:pPr>
        <w:spacing w:after="0"/>
        <w:rPr>
          <w:rFonts w:ascii="Arial" w:hAnsi="Arial" w:cs="Arial"/>
          <w:b/>
        </w:rPr>
      </w:pPr>
    </w:p>
    <w:p w14:paraId="1CD1C134" w14:textId="35ED9A3E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774318C2" w14:textId="6419BB51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4A34018B" w14:textId="482C19A5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3140FAB4" w14:textId="41852D15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hr-HR"/>
        </w:rPr>
      </w:pPr>
      <w:r w:rsidRPr="00DE51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hr-HR"/>
        </w:rPr>
        <w:t>OBRAZLOŽENJE  FINANCIJSKOG  PLANA ZA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hr-HR"/>
        </w:rPr>
        <w:t>6</w:t>
      </w:r>
      <w:r w:rsidRPr="00DE51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hr-HR"/>
        </w:rPr>
        <w:t>. GODINU TE PROJEKCIJE ZA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hr-HR"/>
        </w:rPr>
        <w:t>7</w:t>
      </w:r>
      <w:r w:rsidRPr="00DE51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hr-HR"/>
        </w:rPr>
        <w:t>. i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hr-HR"/>
        </w:rPr>
        <w:t>8</w:t>
      </w:r>
      <w:r w:rsidRPr="00DE515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hr-HR"/>
        </w:rPr>
        <w:t>. GODINU</w:t>
      </w:r>
    </w:p>
    <w:p w14:paraId="24DE8F81" w14:textId="77777777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r-HR"/>
        </w:rPr>
      </w:pPr>
    </w:p>
    <w:p w14:paraId="0933FF9D" w14:textId="77777777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r-HR"/>
        </w:rPr>
      </w:pPr>
    </w:p>
    <w:p w14:paraId="2AE1E2E8" w14:textId="77777777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r-HR"/>
        </w:rPr>
      </w:pPr>
      <w:r w:rsidRPr="00DE515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r-HR"/>
        </w:rPr>
        <w:t>Financijski plan akt je Osnovne škole Marina Getaldića  kojim se  utvrđuju  njezini prihodi i primici, te rashodi i izdaci i u skladu je s proračunskim klasifikacijama.. Financijski plan se donosi i izvršavat će se po načelima jedinstva i točnosti proračuna, načelu jedne godine, uravnoteženosti, obračunske jedinice, specifikacije, univerzalnosti te dobrog financijskog upravljanja i transparentnosti.</w:t>
      </w:r>
    </w:p>
    <w:p w14:paraId="36CAB2F3" w14:textId="77777777" w:rsidR="00DE5158" w:rsidRPr="00DE5158" w:rsidRDefault="00DE5158" w:rsidP="00DE5158">
      <w:pPr>
        <w:spacing w:after="0" w:line="259" w:lineRule="auto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hr-HR"/>
        </w:rPr>
      </w:pPr>
    </w:p>
    <w:p w14:paraId="193FF7DC" w14:textId="77777777" w:rsidR="00DE5158" w:rsidRPr="00DE5158" w:rsidRDefault="00DE5158" w:rsidP="00DE5158">
      <w:pPr>
        <w:spacing w:after="0" w:line="259" w:lineRule="auto"/>
        <w:ind w:left="360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14:paraId="461475C2" w14:textId="77777777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DE515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Opći dio proračuna kojeg čini: A - Račun prihoda i rashoda B - Račun financiranja u kojem se iskazuju primici od financijske imovine i primljeni kredit i zajmovi, te izdaci za financijsku imovinu i za otplatu zajmova i kredita. C – Preneseni višak ili preneseni manjak</w:t>
      </w:r>
    </w:p>
    <w:p w14:paraId="19F66E38" w14:textId="77777777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DE5158">
        <w:rPr>
          <w:rFonts w:ascii="Times New Roman" w:eastAsia="Times New Roman" w:hAnsi="Times New Roman" w:cs="Times New Roman"/>
          <w:color w:val="000000"/>
          <w:sz w:val="24"/>
          <w:lang w:eastAsia="hr-HR"/>
        </w:rPr>
        <w:t>Posebni dio proračuna, sastoji se od plana rashoda i izdataka proračunskog korisnika raspoređenih u programe koji se sastoje od aktivnosti, tekućih i kapitalnih projekata za naredne tri proračunske godine.</w:t>
      </w:r>
    </w:p>
    <w:p w14:paraId="1DEF0C8C" w14:textId="77777777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76C12528" w14:textId="77777777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6ABB689D" w14:textId="7C967FF5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b/>
          <w:i/>
          <w:sz w:val="24"/>
          <w:u w:val="single"/>
          <w:lang w:eastAsia="hr-HR"/>
        </w:rPr>
      </w:pPr>
      <w:r w:rsidRPr="00DE5158">
        <w:rPr>
          <w:rFonts w:ascii="Times New Roman" w:eastAsia="Times New Roman" w:hAnsi="Times New Roman" w:cs="Times New Roman"/>
          <w:b/>
          <w:i/>
          <w:sz w:val="24"/>
          <w:u w:val="single"/>
          <w:lang w:eastAsia="hr-HR"/>
        </w:rPr>
        <w:t>Obrazloženje – Opći dio financijskog plana za 202</w:t>
      </w:r>
      <w:r>
        <w:rPr>
          <w:rFonts w:ascii="Times New Roman" w:eastAsia="Times New Roman" w:hAnsi="Times New Roman" w:cs="Times New Roman"/>
          <w:b/>
          <w:i/>
          <w:sz w:val="24"/>
          <w:u w:val="single"/>
          <w:lang w:eastAsia="hr-HR"/>
        </w:rPr>
        <w:t>6</w:t>
      </w:r>
      <w:r w:rsidRPr="00DE5158">
        <w:rPr>
          <w:rFonts w:ascii="Times New Roman" w:eastAsia="Times New Roman" w:hAnsi="Times New Roman" w:cs="Times New Roman"/>
          <w:b/>
          <w:i/>
          <w:sz w:val="24"/>
          <w:u w:val="single"/>
          <w:lang w:eastAsia="hr-HR"/>
        </w:rPr>
        <w:t>.- i projekcija za 202</w:t>
      </w:r>
      <w:r>
        <w:rPr>
          <w:rFonts w:ascii="Times New Roman" w:eastAsia="Times New Roman" w:hAnsi="Times New Roman" w:cs="Times New Roman"/>
          <w:b/>
          <w:i/>
          <w:sz w:val="24"/>
          <w:u w:val="single"/>
          <w:lang w:eastAsia="hr-HR"/>
        </w:rPr>
        <w:t>7</w:t>
      </w:r>
      <w:r w:rsidRPr="00DE5158">
        <w:rPr>
          <w:rFonts w:ascii="Times New Roman" w:eastAsia="Times New Roman" w:hAnsi="Times New Roman" w:cs="Times New Roman"/>
          <w:b/>
          <w:i/>
          <w:sz w:val="24"/>
          <w:u w:val="single"/>
          <w:lang w:eastAsia="hr-HR"/>
        </w:rPr>
        <w:t>.-202</w:t>
      </w:r>
      <w:r>
        <w:rPr>
          <w:rFonts w:ascii="Times New Roman" w:eastAsia="Times New Roman" w:hAnsi="Times New Roman" w:cs="Times New Roman"/>
          <w:b/>
          <w:i/>
          <w:sz w:val="24"/>
          <w:u w:val="single"/>
          <w:lang w:eastAsia="hr-HR"/>
        </w:rPr>
        <w:t>8</w:t>
      </w:r>
      <w:r w:rsidRPr="00DE5158">
        <w:rPr>
          <w:rFonts w:ascii="Times New Roman" w:eastAsia="Times New Roman" w:hAnsi="Times New Roman" w:cs="Times New Roman"/>
          <w:b/>
          <w:i/>
          <w:sz w:val="24"/>
          <w:u w:val="single"/>
          <w:lang w:eastAsia="hr-HR"/>
        </w:rPr>
        <w:t>.</w:t>
      </w:r>
    </w:p>
    <w:p w14:paraId="32A93D41" w14:textId="77777777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i/>
          <w:sz w:val="24"/>
          <w:lang w:eastAsia="hr-HR"/>
        </w:rPr>
      </w:pPr>
    </w:p>
    <w:p w14:paraId="219FC7DF" w14:textId="0F72B801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  <w:r w:rsidRPr="00DE5158">
        <w:rPr>
          <w:rFonts w:ascii="Times New Roman" w:eastAsia="Times New Roman" w:hAnsi="Times New Roman" w:cs="Times New Roman"/>
          <w:sz w:val="24"/>
          <w:lang w:eastAsia="hr-HR"/>
        </w:rPr>
        <w:t>Financijski plan Osnovne škole Marina Getaldića  za razdoblje 202</w:t>
      </w:r>
      <w:r>
        <w:rPr>
          <w:rFonts w:ascii="Times New Roman" w:eastAsia="Times New Roman" w:hAnsi="Times New Roman" w:cs="Times New Roman"/>
          <w:sz w:val="24"/>
          <w:lang w:eastAsia="hr-HR"/>
        </w:rPr>
        <w:t>6</w:t>
      </w:r>
      <w:r w:rsidRPr="00DE5158">
        <w:rPr>
          <w:rFonts w:ascii="Times New Roman" w:eastAsia="Times New Roman" w:hAnsi="Times New Roman" w:cs="Times New Roman"/>
          <w:sz w:val="24"/>
          <w:lang w:eastAsia="hr-HR"/>
        </w:rPr>
        <w:t>.-202</w:t>
      </w:r>
      <w:r>
        <w:rPr>
          <w:rFonts w:ascii="Times New Roman" w:eastAsia="Times New Roman" w:hAnsi="Times New Roman" w:cs="Times New Roman"/>
          <w:sz w:val="24"/>
          <w:lang w:eastAsia="hr-HR"/>
        </w:rPr>
        <w:t>8</w:t>
      </w:r>
      <w:r w:rsidRPr="00DE5158">
        <w:rPr>
          <w:rFonts w:ascii="Times New Roman" w:eastAsia="Times New Roman" w:hAnsi="Times New Roman" w:cs="Times New Roman"/>
          <w:sz w:val="24"/>
          <w:lang w:eastAsia="hr-HR"/>
        </w:rPr>
        <w:t>. godine izrađen je prema metodologiji propisanoj Zakonom o proračunu ( NN 144/21), Zakonom o fiskalnoj odgovornosti ( NN 111/18), te pod zakonskim aktima kojima se regulira provedba zakonskih rješenja i to Pravilnikom o proračunskom računovodstvu i računskom planu  ( NN 124/14, 115/15, 87/16, 3/18, 126/19 i 108/20), Pravilnikom o proračunskim klasifikacijama ( NN 26/10,120/13,01/20), Pravilnika o financijskom izvještaju o izvršenju proračuna ( NN 24/13,102/17,1/20 145/20, 85/23).</w:t>
      </w:r>
    </w:p>
    <w:p w14:paraId="09C38703" w14:textId="6F551C6E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  <w:r w:rsidRPr="00DE5158">
        <w:rPr>
          <w:rFonts w:ascii="Times New Roman" w:eastAsia="Times New Roman" w:hAnsi="Times New Roman" w:cs="Times New Roman"/>
          <w:sz w:val="24"/>
          <w:lang w:eastAsia="hr-HR"/>
        </w:rPr>
        <w:t>Sukladno Zakonu o proračunu, a na temelju Smjernica ekonomske i fiskalne politike, Ministarstvo financija sastavilo je Upute za izradu proračuna jedinica lokalne samouprave za razdoblje 202</w:t>
      </w:r>
      <w:r>
        <w:rPr>
          <w:rFonts w:ascii="Times New Roman" w:eastAsia="Times New Roman" w:hAnsi="Times New Roman" w:cs="Times New Roman"/>
          <w:sz w:val="24"/>
          <w:lang w:eastAsia="hr-HR"/>
        </w:rPr>
        <w:t>6</w:t>
      </w:r>
      <w:r w:rsidRPr="00DE5158">
        <w:rPr>
          <w:rFonts w:ascii="Times New Roman" w:eastAsia="Times New Roman" w:hAnsi="Times New Roman" w:cs="Times New Roman"/>
          <w:sz w:val="24"/>
          <w:lang w:eastAsia="hr-HR"/>
        </w:rPr>
        <w:t>.-202</w:t>
      </w:r>
      <w:r>
        <w:rPr>
          <w:rFonts w:ascii="Times New Roman" w:eastAsia="Times New Roman" w:hAnsi="Times New Roman" w:cs="Times New Roman"/>
          <w:sz w:val="24"/>
          <w:lang w:eastAsia="hr-HR"/>
        </w:rPr>
        <w:t>8</w:t>
      </w:r>
      <w:r w:rsidRPr="00DE5158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</w:p>
    <w:p w14:paraId="2D1F3F21" w14:textId="77777777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  <w:r w:rsidRPr="00DE5158">
        <w:rPr>
          <w:rFonts w:ascii="Times New Roman" w:eastAsia="Times New Roman" w:hAnsi="Times New Roman" w:cs="Times New Roman"/>
          <w:sz w:val="24"/>
          <w:lang w:eastAsia="hr-HR"/>
        </w:rPr>
        <w:t>Odredbama članka 39. Zakona o proračunu, predstavničko tijelo( Školski odbor u školi)  donosi proračun na razini ekonomske klasifikacije za iduću proračunsku godinu i projekciju na razini skupine za slijedeće dvije proračunske godine.</w:t>
      </w:r>
    </w:p>
    <w:p w14:paraId="22C5A1F1" w14:textId="77777777" w:rsidR="00DE5158" w:rsidRP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12E262EF" w14:textId="2F308C11" w:rsid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  <w:r w:rsidRPr="00DE5158">
        <w:rPr>
          <w:rFonts w:ascii="Times New Roman" w:eastAsia="Times New Roman" w:hAnsi="Times New Roman" w:cs="Times New Roman"/>
          <w:sz w:val="24"/>
          <w:lang w:eastAsia="hr-HR"/>
        </w:rPr>
        <w:t>Financijski plan Osnovne škole Marina Getaldića čine prihodi i primici, te rashodi i izdaci raspoređeni u programe koji se sastoje od aktivnosti i projekata, a iskazani su prema ekonomskoj i funkcijskoj klasifikaciji.</w:t>
      </w:r>
    </w:p>
    <w:p w14:paraId="747A356D" w14:textId="0F607ADB" w:rsid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0355D889" w14:textId="0F60C35C" w:rsid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0E334DC2" w14:textId="3DA4CC0F" w:rsidR="00DE5158" w:rsidRDefault="00DE5158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76353BBB" w14:textId="73415E6E" w:rsidR="00CE5FDC" w:rsidRDefault="00CE5FDC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2DD09893" w14:textId="367A078F" w:rsidR="00CE5FDC" w:rsidRDefault="00CE5FDC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0280CFB8" w14:textId="22AD865C" w:rsidR="00CE5FDC" w:rsidRDefault="00CE5FDC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760839F5" w14:textId="34A4683C" w:rsidR="00CE5FDC" w:rsidRDefault="00CE5FDC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223FA5EF" w14:textId="7ECD7705" w:rsidR="00CE5FDC" w:rsidRDefault="00CE5FDC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2B5BF9AC" w14:textId="028602E5" w:rsidR="00CE5FDC" w:rsidRDefault="00CE5FDC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6A29C2A3" w14:textId="5F1CD0F0" w:rsidR="00CE5FDC" w:rsidRDefault="00CE5FDC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6F888357" w14:textId="63239FFB" w:rsidR="00CE5FDC" w:rsidRDefault="00CE5FDC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68BD584B" w14:textId="3D7251CB" w:rsidR="00CE5FDC" w:rsidRPr="00DE5158" w:rsidRDefault="00CE5FDC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lastRenderedPageBreak/>
        <w:t>Sažetak računa prihoda i rashoda</w:t>
      </w:r>
    </w:p>
    <w:p w14:paraId="11FA3023" w14:textId="11CB7641" w:rsidR="00DE5158" w:rsidRDefault="00DE5158" w:rsidP="00DE5158">
      <w:pPr>
        <w:spacing w:after="0" w:line="259" w:lineRule="auto"/>
        <w:ind w:left="10" w:hanging="10"/>
        <w:rPr>
          <w:noProof/>
        </w:rPr>
      </w:pPr>
    </w:p>
    <w:tbl>
      <w:tblPr>
        <w:tblW w:w="10029" w:type="dxa"/>
        <w:tblLook w:val="04A0" w:firstRow="1" w:lastRow="0" w:firstColumn="1" w:lastColumn="0" w:noHBand="0" w:noVBand="1"/>
      </w:tblPr>
      <w:tblGrid>
        <w:gridCol w:w="4869"/>
        <w:gridCol w:w="266"/>
        <w:gridCol w:w="266"/>
        <w:gridCol w:w="1540"/>
        <w:gridCol w:w="1394"/>
        <w:gridCol w:w="1840"/>
      </w:tblGrid>
      <w:tr w:rsidR="008A76CE" w:rsidRPr="008A76CE" w14:paraId="16435DE2" w14:textId="77777777" w:rsidTr="008A76CE">
        <w:trPr>
          <w:trHeight w:val="288"/>
        </w:trPr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5D23" w14:textId="77777777" w:rsidR="008A76CE" w:rsidRPr="008A76CE" w:rsidRDefault="008A76CE" w:rsidP="008A7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D99C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8A76CE">
              <w:rPr>
                <w:rFonts w:ascii="Calibri" w:eastAsia="Times New Roman" w:hAnsi="Calibri" w:cs="Calibri"/>
                <w:color w:val="000000"/>
                <w:lang w:val="en-GB" w:eastAsia="en-GB"/>
              </w:rPr>
              <w:t>Izvršenje</w:t>
            </w:r>
            <w:proofErr w:type="spellEnd"/>
            <w:r w:rsidRPr="008A76CE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gramStart"/>
            <w:r w:rsidRPr="008A76CE">
              <w:rPr>
                <w:rFonts w:ascii="Calibri" w:eastAsia="Times New Roman" w:hAnsi="Calibri" w:cs="Calibri"/>
                <w:color w:val="000000"/>
                <w:lang w:val="en-GB" w:eastAsia="en-GB"/>
              </w:rPr>
              <w:t>2024.*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23F8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color w:val="000000"/>
                <w:lang w:val="en-GB" w:eastAsia="en-GB"/>
              </w:rPr>
              <w:t>Plan 2025.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A2F5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color w:val="000000"/>
                <w:lang w:val="en-GB" w:eastAsia="en-GB"/>
              </w:rPr>
              <w:t>PLAN 2026.</w:t>
            </w:r>
          </w:p>
        </w:tc>
      </w:tr>
      <w:tr w:rsidR="008A76CE" w:rsidRPr="008A76CE" w14:paraId="7AAB084D" w14:textId="77777777" w:rsidTr="00CE5B9C">
        <w:trPr>
          <w:trHeight w:val="288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6884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PRIHODI UKUPNO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5963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DEBD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E634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1.167.630,58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F1568D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1.488.760,00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69203DE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1.741.120,00</w:t>
            </w:r>
          </w:p>
        </w:tc>
      </w:tr>
      <w:tr w:rsidR="008A76CE" w:rsidRPr="008A76CE" w14:paraId="7D7715EE" w14:textId="77777777" w:rsidTr="00CE5B9C">
        <w:trPr>
          <w:trHeight w:val="288"/>
        </w:trPr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7C12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6 PRIHODI POSLOVANJA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6906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E4A5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6323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1.167.599,50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86FD59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1.488.710,00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4B20BAF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1.741.030,00</w:t>
            </w:r>
          </w:p>
        </w:tc>
      </w:tr>
      <w:tr w:rsidR="008A76CE" w:rsidRPr="008A76CE" w14:paraId="323C71F2" w14:textId="77777777" w:rsidTr="00CE5B9C">
        <w:trPr>
          <w:trHeight w:val="288"/>
        </w:trPr>
        <w:tc>
          <w:tcPr>
            <w:tcW w:w="54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1581A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7 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B509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31,08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70113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F00F179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90,00</w:t>
            </w:r>
          </w:p>
        </w:tc>
      </w:tr>
      <w:tr w:rsidR="008A76CE" w:rsidRPr="008A76CE" w14:paraId="412AF4CD" w14:textId="77777777" w:rsidTr="00CE5B9C">
        <w:trPr>
          <w:trHeight w:val="288"/>
        </w:trPr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133A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RASHODI UKUPNO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A6865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B9BD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1.170.476,86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A979B4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1.488.760,00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8AEB38C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1.741.120,00</w:t>
            </w:r>
          </w:p>
        </w:tc>
      </w:tr>
      <w:tr w:rsidR="008A76CE" w:rsidRPr="008A76CE" w14:paraId="2A43B955" w14:textId="77777777" w:rsidTr="00CE5B9C">
        <w:trPr>
          <w:trHeight w:val="214"/>
        </w:trPr>
        <w:tc>
          <w:tcPr>
            <w:tcW w:w="4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2860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3 </w:t>
            </w:r>
            <w:proofErr w:type="gramStart"/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RASHODI  POSLOVANJA</w:t>
            </w:r>
            <w:proofErr w:type="gram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C4CA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5205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8572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669.449,93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DC5B61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1.463.790,00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3AA6078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1.711.360,00</w:t>
            </w:r>
          </w:p>
        </w:tc>
      </w:tr>
      <w:tr w:rsidR="008A76CE" w:rsidRPr="008A76CE" w14:paraId="6FF56024" w14:textId="77777777" w:rsidTr="00CE5B9C">
        <w:trPr>
          <w:trHeight w:val="288"/>
        </w:trPr>
        <w:tc>
          <w:tcPr>
            <w:tcW w:w="54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9AE46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4 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7657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501.026,93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BC950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24.970,00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5A6ED97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29.760,00</w:t>
            </w:r>
          </w:p>
        </w:tc>
      </w:tr>
      <w:tr w:rsidR="008A76CE" w:rsidRPr="008A76CE" w14:paraId="035503BB" w14:textId="77777777" w:rsidTr="00CE5B9C">
        <w:trPr>
          <w:trHeight w:val="180"/>
        </w:trPr>
        <w:tc>
          <w:tcPr>
            <w:tcW w:w="4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63E50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RAZLIKA - VIŠAK / MANJAK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15901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6251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86EE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-2.846,28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D3991" w14:textId="77777777" w:rsidR="008A76CE" w:rsidRPr="008A76CE" w:rsidRDefault="008A76CE" w:rsidP="008A76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BC65919" w14:textId="77777777" w:rsidR="008A76CE" w:rsidRPr="008A76CE" w:rsidRDefault="008A76CE" w:rsidP="008A76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8A7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0,00</w:t>
            </w:r>
          </w:p>
        </w:tc>
      </w:tr>
    </w:tbl>
    <w:p w14:paraId="45844965" w14:textId="58D9EFB6" w:rsidR="008A76CE" w:rsidRDefault="008A76CE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3BCE114E" w14:textId="6B7A9E4C" w:rsidR="008A76CE" w:rsidRDefault="008A76CE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5A17B5F4" w14:textId="5AAC44A7" w:rsidR="008A76CE" w:rsidRDefault="008A76CE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1DD2B3E8" w14:textId="77777777" w:rsidR="008A76CE" w:rsidRPr="00DE5158" w:rsidRDefault="008A76CE" w:rsidP="00DE5158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</w:p>
    <w:p w14:paraId="41028DF2" w14:textId="1A0C5CE6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196C3AA4" w14:textId="424AD873" w:rsidR="00CE5FDC" w:rsidRPr="00CE5FDC" w:rsidRDefault="00CE5FDC" w:rsidP="00CE5FDC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sz w:val="24"/>
          <w:lang w:eastAsia="hr-HR"/>
        </w:rPr>
      </w:pPr>
      <w:r w:rsidRPr="00CE5FDC">
        <w:rPr>
          <w:rFonts w:ascii="Times New Roman" w:eastAsia="Times New Roman" w:hAnsi="Times New Roman" w:cs="Times New Roman"/>
          <w:sz w:val="24"/>
          <w:lang w:eastAsia="hr-HR"/>
        </w:rPr>
        <w:t>Ukupni  financij</w:t>
      </w:r>
      <w:r w:rsidR="008F00FA">
        <w:rPr>
          <w:rFonts w:ascii="Times New Roman" w:eastAsia="Times New Roman" w:hAnsi="Times New Roman" w:cs="Times New Roman"/>
          <w:sz w:val="24"/>
          <w:lang w:eastAsia="hr-HR"/>
        </w:rPr>
        <w:t>ski</w:t>
      </w:r>
      <w:r w:rsidRPr="00CE5FDC">
        <w:rPr>
          <w:rFonts w:ascii="Times New Roman" w:eastAsia="Times New Roman" w:hAnsi="Times New Roman" w:cs="Times New Roman"/>
          <w:sz w:val="24"/>
          <w:lang w:eastAsia="hr-HR"/>
        </w:rPr>
        <w:t xml:space="preserve"> plan 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2026. </w:t>
      </w:r>
      <w:r w:rsidRPr="00CE5FDC">
        <w:rPr>
          <w:rFonts w:ascii="Times New Roman" w:eastAsia="Times New Roman" w:hAnsi="Times New Roman" w:cs="Times New Roman"/>
          <w:sz w:val="24"/>
          <w:lang w:eastAsia="hr-HR"/>
        </w:rPr>
        <w:t xml:space="preserve">( prihodi i rashodi ) za Osnovu školu Marina Getaldića planirani su u iznosu od </w:t>
      </w:r>
      <w:r w:rsidRPr="00CE5FDC">
        <w:rPr>
          <w:rFonts w:ascii="Times New Roman" w:eastAsia="Times New Roman" w:hAnsi="Times New Roman" w:cs="Times New Roman"/>
          <w:b/>
          <w:sz w:val="24"/>
          <w:lang w:eastAsia="hr-HR"/>
        </w:rPr>
        <w:t>1.</w:t>
      </w:r>
      <w:r w:rsidR="009041AE">
        <w:rPr>
          <w:rFonts w:ascii="Times New Roman" w:eastAsia="Times New Roman" w:hAnsi="Times New Roman" w:cs="Times New Roman"/>
          <w:b/>
          <w:sz w:val="24"/>
          <w:lang w:eastAsia="hr-HR"/>
        </w:rPr>
        <w:t>741.120,00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 eura </w:t>
      </w:r>
      <w:r w:rsidRPr="00CE5FDC">
        <w:rPr>
          <w:rFonts w:ascii="Times New Roman" w:eastAsia="Times New Roman" w:hAnsi="Times New Roman" w:cs="Times New Roman"/>
          <w:b/>
          <w:sz w:val="24"/>
          <w:lang w:eastAsia="hr-HR"/>
        </w:rPr>
        <w:t>.</w:t>
      </w:r>
      <w:r w:rsidRPr="00CE5FDC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</w:p>
    <w:p w14:paraId="6754B12E" w14:textId="2345D14F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487B948C" w14:textId="47FE9853" w:rsidR="008171D1" w:rsidRDefault="008171D1" w:rsidP="00A83F80">
      <w:pPr>
        <w:spacing w:after="0"/>
        <w:jc w:val="center"/>
        <w:rPr>
          <w:rFonts w:ascii="Arial" w:hAnsi="Arial" w:cs="Arial"/>
          <w:b/>
        </w:rPr>
      </w:pPr>
    </w:p>
    <w:p w14:paraId="0D267D59" w14:textId="688D7806" w:rsidR="008171D1" w:rsidRDefault="008F1B2C" w:rsidP="008F1B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Prihodi poslovanja prema ekonomskoj klasifikaciji:</w:t>
      </w:r>
    </w:p>
    <w:p w14:paraId="547D7E15" w14:textId="6D5AC8FD" w:rsidR="008171D1" w:rsidRDefault="008171D1" w:rsidP="00A83F80">
      <w:pPr>
        <w:spacing w:after="0"/>
        <w:jc w:val="center"/>
        <w:rPr>
          <w:rFonts w:ascii="Arial" w:hAnsi="Arial" w:cs="Arial"/>
          <w:b/>
        </w:rPr>
      </w:pPr>
    </w:p>
    <w:p w14:paraId="57EDCBEA" w14:textId="5082B9BB" w:rsidR="008171D1" w:rsidRDefault="009041AE" w:rsidP="00A83F80">
      <w:pPr>
        <w:spacing w:after="0"/>
        <w:jc w:val="center"/>
        <w:rPr>
          <w:rFonts w:ascii="Arial" w:hAnsi="Arial" w:cs="Arial"/>
          <w:b/>
        </w:rPr>
      </w:pPr>
      <w:r w:rsidRPr="009041AE">
        <w:rPr>
          <w:noProof/>
        </w:rPr>
        <w:drawing>
          <wp:inline distT="0" distB="0" distL="0" distR="0" wp14:anchorId="2D45E5DF" wp14:editId="0BC64647">
            <wp:extent cx="6645910" cy="2112645"/>
            <wp:effectExtent l="0" t="0" r="254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C0DA8" w14:textId="77777777" w:rsidR="009041AE" w:rsidRDefault="009041AE" w:rsidP="00A83F80">
      <w:pPr>
        <w:spacing w:after="0"/>
        <w:jc w:val="center"/>
        <w:rPr>
          <w:rFonts w:ascii="Arial" w:hAnsi="Arial" w:cs="Arial"/>
          <w:b/>
        </w:rPr>
      </w:pPr>
    </w:p>
    <w:p w14:paraId="0444215F" w14:textId="44C0F11C" w:rsidR="008171D1" w:rsidRDefault="008171D1" w:rsidP="008F1B2C">
      <w:pPr>
        <w:spacing w:after="0"/>
        <w:rPr>
          <w:rFonts w:ascii="Arial" w:hAnsi="Arial" w:cs="Arial"/>
          <w:b/>
        </w:rPr>
      </w:pPr>
    </w:p>
    <w:p w14:paraId="36666432" w14:textId="77777777" w:rsidR="008F1B2C" w:rsidRPr="008F1B2C" w:rsidRDefault="008F1B2C" w:rsidP="008F1B2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8F1B2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63 Pomoći iz inozemstva i od subjekata unutar opće države obuhvaćaju prihode nadležnog ministarstva –  prihodi se odnose za plaće zaposlenicima, naknadu za nezapošljavanje osoba s invaliditetom, sufinanciranje cijene prijevoza, prihode za besplatni obrok u školama, rashode za radne udžbenike i menstrualne higijenske potrepštine, kapitalne pomoći iz državnog proračuna proračunskim korisnicima proračuna JLP(R)S za opremanje škole.</w:t>
      </w:r>
    </w:p>
    <w:p w14:paraId="111EB5F9" w14:textId="77777777" w:rsidR="008F1B2C" w:rsidRPr="008F1B2C" w:rsidRDefault="008F1B2C" w:rsidP="008F1B2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8F1B2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64 Prihodi od financijske imovine – odnose se na kamate na depozite po viđenju</w:t>
      </w:r>
    </w:p>
    <w:p w14:paraId="6237C2D5" w14:textId="77777777" w:rsidR="008F1B2C" w:rsidRPr="008F1B2C" w:rsidRDefault="008F1B2C" w:rsidP="008F1B2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8F1B2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65 Prihodi od upravnih i administrativnih pristojbi –  Odnose se na uplatu roditelja za projekte Produženi boravak, kao i na plaćanje članarine u projektu Školski šport</w:t>
      </w:r>
    </w:p>
    <w:p w14:paraId="29A00A97" w14:textId="23F591EE" w:rsidR="008F1B2C" w:rsidRPr="008F1B2C" w:rsidRDefault="008F1B2C" w:rsidP="008F1B2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8F1B2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67</w:t>
      </w:r>
      <w:r w:rsidRPr="008F1B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F1B2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Prihodi iz nadležnog proračuna i od HZZO-a temeljem ugovornih obveza – odnose se na prihode koji pokrivaju troškove projekata koji se financiraju iz proračuna grada Dubrovnik, kao što su Produženi boravak, Stručno razvojna služba, Asistent u nastavi,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8F1B2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kao i za financiranje Materijalnih i financijskih rashoda i projekt Školske opreme iz izvora 41. </w:t>
      </w:r>
    </w:p>
    <w:p w14:paraId="7BC30696" w14:textId="77777777" w:rsidR="008F1B2C" w:rsidRPr="008F1B2C" w:rsidRDefault="008F1B2C" w:rsidP="008F1B2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8F1B2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72 Prihodi od prodaje proizvedene dugotrajne imovine – Odnose se na prihode od stambene imovine.</w:t>
      </w:r>
    </w:p>
    <w:p w14:paraId="38EE9078" w14:textId="33292882" w:rsidR="008171D1" w:rsidRDefault="008171D1" w:rsidP="00A83F80">
      <w:pPr>
        <w:spacing w:after="0"/>
        <w:jc w:val="center"/>
        <w:rPr>
          <w:rFonts w:ascii="Arial" w:hAnsi="Arial" w:cs="Arial"/>
          <w:b/>
        </w:rPr>
      </w:pPr>
    </w:p>
    <w:p w14:paraId="4D03BFB1" w14:textId="23DDD98C" w:rsidR="008171D1" w:rsidRDefault="008171D1" w:rsidP="00A83F80">
      <w:pPr>
        <w:spacing w:after="0"/>
        <w:jc w:val="center"/>
        <w:rPr>
          <w:rFonts w:ascii="Arial" w:hAnsi="Arial" w:cs="Arial"/>
          <w:b/>
        </w:rPr>
      </w:pPr>
    </w:p>
    <w:p w14:paraId="10EF8716" w14:textId="501E0572" w:rsidR="008171D1" w:rsidRDefault="008171D1" w:rsidP="00A83F80">
      <w:pPr>
        <w:spacing w:after="0"/>
        <w:jc w:val="center"/>
        <w:rPr>
          <w:rFonts w:ascii="Arial" w:hAnsi="Arial" w:cs="Arial"/>
          <w:b/>
        </w:rPr>
      </w:pPr>
    </w:p>
    <w:p w14:paraId="2AC3D7EF" w14:textId="3188417E" w:rsidR="008171D1" w:rsidRDefault="008171D1" w:rsidP="00A83F80">
      <w:pPr>
        <w:spacing w:after="0"/>
        <w:jc w:val="center"/>
        <w:rPr>
          <w:rFonts w:ascii="Arial" w:hAnsi="Arial" w:cs="Arial"/>
          <w:b/>
        </w:rPr>
      </w:pPr>
    </w:p>
    <w:p w14:paraId="57DBDACB" w14:textId="77777777" w:rsidR="009041AE" w:rsidRDefault="009041AE" w:rsidP="008F1B2C">
      <w:pPr>
        <w:spacing w:after="0"/>
        <w:rPr>
          <w:rFonts w:ascii="Arial" w:hAnsi="Arial" w:cs="Arial"/>
          <w:b/>
        </w:rPr>
      </w:pPr>
    </w:p>
    <w:p w14:paraId="534543A2" w14:textId="4D15C964" w:rsidR="008F1B2C" w:rsidRDefault="008F1B2C" w:rsidP="008F1B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Rashodi po ekonomskoj klasifikaciji:</w:t>
      </w:r>
    </w:p>
    <w:p w14:paraId="42E0325C" w14:textId="2DF8C4F2" w:rsidR="008171D1" w:rsidRDefault="008171D1" w:rsidP="00A83F80">
      <w:pPr>
        <w:spacing w:after="0"/>
        <w:jc w:val="center"/>
        <w:rPr>
          <w:rFonts w:ascii="Arial" w:hAnsi="Arial" w:cs="Arial"/>
          <w:b/>
        </w:rPr>
      </w:pPr>
    </w:p>
    <w:p w14:paraId="3B67201F" w14:textId="3448A76C" w:rsidR="00DE5158" w:rsidRDefault="009041AE" w:rsidP="00A83F80">
      <w:pPr>
        <w:spacing w:after="0"/>
        <w:jc w:val="center"/>
        <w:rPr>
          <w:rFonts w:ascii="Arial" w:hAnsi="Arial" w:cs="Arial"/>
          <w:b/>
        </w:rPr>
      </w:pPr>
      <w:r w:rsidRPr="009041AE">
        <w:rPr>
          <w:noProof/>
        </w:rPr>
        <w:drawing>
          <wp:inline distT="0" distB="0" distL="0" distR="0" wp14:anchorId="5491B398" wp14:editId="2450DC07">
            <wp:extent cx="6645910" cy="1615440"/>
            <wp:effectExtent l="0" t="0" r="254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612F3" w14:textId="16DF08FF" w:rsidR="00DE5158" w:rsidRDefault="00DE5158" w:rsidP="00A83F80">
      <w:pPr>
        <w:spacing w:after="0"/>
        <w:jc w:val="center"/>
        <w:rPr>
          <w:rFonts w:ascii="Arial" w:hAnsi="Arial" w:cs="Arial"/>
          <w:b/>
        </w:rPr>
      </w:pPr>
    </w:p>
    <w:p w14:paraId="0568D4F7" w14:textId="21BEAF4B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2B57A67D" w14:textId="5C9AE5DF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3D717B65" w14:textId="4597B44C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67ECA2F2" w14:textId="7C3407DC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13FBD71A" w14:textId="77777777" w:rsidR="008F1B2C" w:rsidRPr="008F1B2C" w:rsidRDefault="008F1B2C" w:rsidP="008F1B2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</w:pPr>
      <w:r w:rsidRPr="008F1B2C"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  <w:t xml:space="preserve">31 Rashodi za zaposlene –  odnose se na rashode za plaće, ostale rashode za zaposlene i doprinose na plaće. Polazište za izračun su sredstva planirana tekućim proračunom za 2025. godinu, uzevši u obzir potencijalna povećanja plaća i materijalnih prava zaposlenih tijekom 2026. godine te potrebna sredstva za uvećanje za minimalni rad svake godine. </w:t>
      </w:r>
    </w:p>
    <w:p w14:paraId="3F77B186" w14:textId="77777777" w:rsidR="008F1B2C" w:rsidRPr="008F1B2C" w:rsidRDefault="008F1B2C" w:rsidP="008F1B2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</w:pPr>
      <w:r w:rsidRPr="008F1B2C"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  <w:t>32 Materijalni rashodi – %). Materijalne rashode čine naknade troškova zaposlenima, rashodi za materijalnu energiju i usluge, rashodi za usluge, ostali nespomenuti rashodi poslovanja. Najveću stavku čine rashodi za materijal i energiju.</w:t>
      </w:r>
    </w:p>
    <w:p w14:paraId="6DE23A8B" w14:textId="77777777" w:rsidR="008F1B2C" w:rsidRPr="008F1B2C" w:rsidRDefault="008F1B2C" w:rsidP="008F1B2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</w:pPr>
      <w:r w:rsidRPr="008F1B2C"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  <w:t>34 Financijski rashodi – čine planirani troškovi za bankarske usluge</w:t>
      </w:r>
    </w:p>
    <w:p w14:paraId="1AECD0AC" w14:textId="4A2052D0" w:rsidR="008F1B2C" w:rsidRPr="008F1B2C" w:rsidRDefault="008F1B2C" w:rsidP="008F1B2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</w:pPr>
      <w:r w:rsidRPr="008F1B2C"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  <w:t xml:space="preserve">37 Naknade građanima i kućanstvima na temelju osiguranja i druge naknade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  <w:t>odnosi se na rashode za prehranu u učenika u projektu produženi boravak, te na rashode za nabavu radnih materijala za učenike ( radne bilježnice)</w:t>
      </w:r>
    </w:p>
    <w:p w14:paraId="0A0E18CD" w14:textId="77777777" w:rsidR="008F1B2C" w:rsidRPr="008F1B2C" w:rsidRDefault="008F1B2C" w:rsidP="008F1B2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</w:pPr>
      <w:r w:rsidRPr="008F1B2C"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  <w:t xml:space="preserve">38 Tekuće donacije – uključuju rashode za nabavku zaliha besplatnih menstrualnih higijenskih potrepština u školama i skloništima za žene žrtve nasilja sukladno Odluci Ministarstva znanosti, obrazovanja i mladih. </w:t>
      </w:r>
    </w:p>
    <w:p w14:paraId="731E7CFA" w14:textId="7739B7EE" w:rsidR="008F1B2C" w:rsidRPr="008F1B2C" w:rsidRDefault="008F1B2C" w:rsidP="008F1B2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Arial" w:hAnsi="Arial" w:cs="Arial"/>
          <w:b/>
        </w:rPr>
      </w:pPr>
      <w:r w:rsidRPr="008F1B2C">
        <w:rPr>
          <w:rFonts w:ascii="Times New Roman" w:eastAsiaTheme="minorEastAsia" w:hAnsi="Times New Roman" w:cs="Times New Roman"/>
          <w:bCs/>
          <w:sz w:val="24"/>
          <w:szCs w:val="24"/>
          <w:lang w:eastAsia="hr-HR"/>
          <w14:ligatures w14:val="standardContextual"/>
        </w:rPr>
        <w:t>42 Rashodi za nabavu nefinancijske imovine –  rashodi za nabavu proizvedene dugotrajne imovine (opreme). Dio ovih</w:t>
      </w:r>
      <w:r w:rsidRPr="008F1B2C">
        <w:rPr>
          <w:rFonts w:ascii="Times New Roman" w:eastAsiaTheme="minorEastAsia" w:hAnsi="Times New Roman" w:cs="Times New Roman"/>
          <w:sz w:val="24"/>
          <w:szCs w:val="24"/>
          <w:lang w:eastAsia="hr-HR"/>
          <w14:ligatures w14:val="standardContextual"/>
        </w:rPr>
        <w:t xml:space="preserve"> rashoda koji se financiraju 41(31) Decentralizirana sredstva planiran je u okvir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  <w14:ligatures w14:val="standardContextual"/>
        </w:rPr>
        <w:t xml:space="preserve"> </w:t>
      </w:r>
      <w:r w:rsidRPr="008F1B2C">
        <w:rPr>
          <w:rFonts w:ascii="Times New Roman" w:eastAsiaTheme="minorEastAsia" w:hAnsi="Times New Roman" w:cs="Times New Roman"/>
          <w:sz w:val="24"/>
          <w:szCs w:val="24"/>
          <w:lang w:eastAsia="hr-HR"/>
          <w14:ligatures w14:val="standardContextual"/>
        </w:rPr>
        <w:t xml:space="preserve">dodijeljenih limita od strane nadležnog upravnog odjela. </w:t>
      </w:r>
    </w:p>
    <w:p w14:paraId="61ED15E9" w14:textId="5F6E646F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290FD988" w14:textId="6018FCC3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442BBED5" w14:textId="2A5B0827" w:rsidR="00F06087" w:rsidRDefault="001A02B7" w:rsidP="00F06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02B7">
        <w:rPr>
          <w:noProof/>
        </w:rPr>
        <w:lastRenderedPageBreak/>
        <w:drawing>
          <wp:inline distT="0" distB="0" distL="0" distR="0" wp14:anchorId="26DBCEC8" wp14:editId="7623419F">
            <wp:extent cx="6645910" cy="4803775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B26BC" w14:textId="0DF9C8D3" w:rsidR="00F06087" w:rsidRDefault="00F06087" w:rsidP="00F06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29A07EA" w14:textId="2A2E7DDE" w:rsidR="00F06087" w:rsidRDefault="00F06087" w:rsidP="00F06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2A58B8F" w14:textId="77777777" w:rsidR="00F06087" w:rsidRPr="00F06087" w:rsidRDefault="00F06087" w:rsidP="00F06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F060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RASHODI PREMA FUNKCIJSKOJ KLASIFIKACIJI</w:t>
      </w:r>
    </w:p>
    <w:p w14:paraId="3E6572CF" w14:textId="212118E2" w:rsidR="00F06087" w:rsidRDefault="00F06087" w:rsidP="00F060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0608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Ukupni rashodi poslovanja razreda 3 i rashodi za nabavu nefinancijske imovine razreda 4 prema funkcijskoj klasifikaciji planirani su i razvrstani u klasu 09 Obrazovanje (podskupine 091 predškolsko i osnovnoškolsko obrazovanje) u ukupnom iznosu </w:t>
      </w:r>
      <w:r w:rsidRPr="00C613BF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1.</w:t>
      </w:r>
      <w:r w:rsidR="009041AE" w:rsidRPr="00C613BF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741.120</w:t>
      </w:r>
      <w:r w:rsidRPr="00C613B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eura.</w:t>
      </w:r>
    </w:p>
    <w:p w14:paraId="6BA9F02B" w14:textId="77777777" w:rsidR="00F06087" w:rsidRDefault="00F06087" w:rsidP="00F060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F97D051" w14:textId="77777777" w:rsidR="00F06087" w:rsidRDefault="00F06087" w:rsidP="00F060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662E56E" w14:textId="77777777" w:rsidR="00F06087" w:rsidRPr="00F06087" w:rsidRDefault="00F06087" w:rsidP="00F06087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F0608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F060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OBRAZLOŽENJE RAČUNA FINANCIRANJA</w:t>
      </w:r>
    </w:p>
    <w:p w14:paraId="1B085041" w14:textId="77777777" w:rsidR="00F06087" w:rsidRPr="00F06087" w:rsidRDefault="00F06087" w:rsidP="00F060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0608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računu financiranja nisu planirani primici od financijske imovine i zaduživanja, te izdaci za financijsku imovinu i za otplatu kredita i zajmova.</w:t>
      </w:r>
    </w:p>
    <w:p w14:paraId="23E79689" w14:textId="716F8D97" w:rsidR="00F06087" w:rsidRPr="00F06087" w:rsidRDefault="00F06087" w:rsidP="00F060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49F69AA" w14:textId="77777777" w:rsidR="00F06087" w:rsidRPr="00F06087" w:rsidRDefault="00F06087" w:rsidP="00F06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BF80F7B" w14:textId="77777777" w:rsidR="00F06087" w:rsidRPr="00F06087" w:rsidRDefault="00F06087" w:rsidP="00F06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08ED8C7" w14:textId="431F1FA3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1C0D85C9" w14:textId="1F5CE42E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49AA70D5" w14:textId="2AB77718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5B6093C8" w14:textId="2312451C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0EF21AC4" w14:textId="78F991A3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19552283" w14:textId="7219BEA6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60B3D5F2" w14:textId="6E2397A0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667CD8D9" w14:textId="5E97E342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03F6406F" w14:textId="1912938E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78B36F05" w14:textId="16B71B1D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0997EA9A" w14:textId="77777777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1426B41A" w14:textId="2BD80251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18DDB219" w14:textId="0C06264D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62F81ACF" w14:textId="5C9AF1FD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3F42626F" w14:textId="70C708E6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1EAD51D3" w14:textId="7A28BF46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083EE668" w14:textId="7019CE90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29165FA7" w14:textId="5A604E87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3BB1681C" w14:textId="1FF3D690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687B045D" w14:textId="52634A83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462E5E8E" w14:textId="7BEE34B1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7C685299" w14:textId="4935B1CA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08E73433" w14:textId="77777777" w:rsidR="00F06087" w:rsidRDefault="00F06087" w:rsidP="00A83F80">
      <w:pPr>
        <w:spacing w:after="0"/>
        <w:jc w:val="center"/>
        <w:rPr>
          <w:rFonts w:ascii="Arial" w:hAnsi="Arial" w:cs="Arial"/>
          <w:b/>
        </w:rPr>
      </w:pPr>
    </w:p>
    <w:p w14:paraId="43393CC1" w14:textId="05DC866B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781D633A" w14:textId="1A74964B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05B67638" w14:textId="43E1F3F2" w:rsidR="008F1B2C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4E586E32" w14:textId="77777777" w:rsidR="008F1B2C" w:rsidRPr="002A45F3" w:rsidRDefault="008F1B2C" w:rsidP="00A83F80">
      <w:pPr>
        <w:spacing w:after="0"/>
        <w:jc w:val="center"/>
        <w:rPr>
          <w:rFonts w:ascii="Arial" w:hAnsi="Arial" w:cs="Arial"/>
          <w:b/>
        </w:rPr>
      </w:pPr>
    </w:p>
    <w:p w14:paraId="52E1F4A3" w14:textId="50135FBA" w:rsidR="006B5CCE" w:rsidRPr="002A45F3" w:rsidRDefault="006B5CCE" w:rsidP="00A83F80">
      <w:pPr>
        <w:spacing w:after="0"/>
        <w:jc w:val="center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OBRAZLOŽENJE P</w:t>
      </w:r>
      <w:r w:rsidR="001139A4" w:rsidRPr="002A45F3">
        <w:rPr>
          <w:rFonts w:ascii="Arial" w:hAnsi="Arial" w:cs="Arial"/>
          <w:b/>
        </w:rPr>
        <w:t xml:space="preserve">OSEBNOG DIJELA </w:t>
      </w:r>
      <w:r w:rsidRPr="002A45F3">
        <w:rPr>
          <w:rFonts w:ascii="Arial" w:hAnsi="Arial" w:cs="Arial"/>
          <w:b/>
        </w:rPr>
        <w:t xml:space="preserve">FINANCIJSKOG PLANA </w:t>
      </w:r>
      <w:r w:rsidR="001139A4" w:rsidRPr="002A45F3">
        <w:rPr>
          <w:rFonts w:ascii="Arial" w:hAnsi="Arial" w:cs="Arial"/>
          <w:b/>
        </w:rPr>
        <w:t>PRORAČUNSKOG KORISNIKA</w:t>
      </w:r>
    </w:p>
    <w:p w14:paraId="4172E50F" w14:textId="78933B70" w:rsidR="003B6516" w:rsidRPr="002A45F3" w:rsidRDefault="00A445E2" w:rsidP="00801A96">
      <w:pPr>
        <w:spacing w:after="0"/>
        <w:jc w:val="center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ZA RAZDOBLJE 202</w:t>
      </w:r>
      <w:r w:rsidR="00C9023D" w:rsidRPr="002A45F3">
        <w:rPr>
          <w:rFonts w:ascii="Arial" w:hAnsi="Arial" w:cs="Arial"/>
          <w:b/>
        </w:rPr>
        <w:t>6</w:t>
      </w:r>
      <w:r w:rsidR="006B5CCE" w:rsidRPr="002A45F3">
        <w:rPr>
          <w:rFonts w:ascii="Arial" w:hAnsi="Arial" w:cs="Arial"/>
          <w:b/>
        </w:rPr>
        <w:t>. -</w:t>
      </w:r>
      <w:r w:rsidR="002A45F3">
        <w:rPr>
          <w:rFonts w:ascii="Arial" w:hAnsi="Arial" w:cs="Arial"/>
          <w:b/>
        </w:rPr>
        <w:t xml:space="preserve"> </w:t>
      </w:r>
      <w:r w:rsidR="006B5CCE" w:rsidRPr="002A45F3">
        <w:rPr>
          <w:rFonts w:ascii="Arial" w:hAnsi="Arial" w:cs="Arial"/>
          <w:b/>
        </w:rPr>
        <w:t>20</w:t>
      </w:r>
      <w:r w:rsidRPr="002A45F3">
        <w:rPr>
          <w:rFonts w:ascii="Arial" w:hAnsi="Arial" w:cs="Arial"/>
          <w:b/>
        </w:rPr>
        <w:t>2</w:t>
      </w:r>
      <w:r w:rsidR="00C9023D" w:rsidRPr="002A45F3">
        <w:rPr>
          <w:rFonts w:ascii="Arial" w:hAnsi="Arial" w:cs="Arial"/>
          <w:b/>
        </w:rPr>
        <w:t>8</w:t>
      </w:r>
      <w:r w:rsidR="006B5CCE" w:rsidRPr="002A45F3">
        <w:rPr>
          <w:rFonts w:ascii="Arial" w:hAnsi="Arial" w:cs="Arial"/>
          <w:b/>
        </w:rPr>
        <w:t>.</w:t>
      </w:r>
    </w:p>
    <w:p w14:paraId="6FCA541A" w14:textId="77777777" w:rsidR="00A83F80" w:rsidRPr="002A45F3" w:rsidRDefault="00A83F80" w:rsidP="007F6BE2">
      <w:pPr>
        <w:spacing w:after="0"/>
        <w:rPr>
          <w:rFonts w:ascii="Arial" w:hAnsi="Arial" w:cs="Arial"/>
          <w:b/>
        </w:rPr>
      </w:pPr>
    </w:p>
    <w:p w14:paraId="4009599D" w14:textId="379E0317" w:rsidR="006B5CCE" w:rsidRPr="002A45F3" w:rsidRDefault="00285DF0" w:rsidP="006B5C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 ŠKOLA MARINA GETALDIĆA</w:t>
      </w:r>
    </w:p>
    <w:p w14:paraId="41BFB2BA" w14:textId="77777777" w:rsidR="00A83F80" w:rsidRPr="002A45F3" w:rsidRDefault="00A83F80" w:rsidP="003E2D5C">
      <w:pPr>
        <w:spacing w:after="0"/>
        <w:rPr>
          <w:rFonts w:ascii="Arial" w:hAnsi="Arial" w:cs="Arial"/>
          <w:b/>
        </w:rPr>
      </w:pPr>
    </w:p>
    <w:p w14:paraId="7238697A" w14:textId="77777777" w:rsidR="00A83F80" w:rsidRPr="002A45F3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UVOD</w:t>
      </w:r>
    </w:p>
    <w:p w14:paraId="7DD852D8" w14:textId="4978C1B9" w:rsidR="00DA4CE6" w:rsidRPr="003811E8" w:rsidRDefault="00DA4CE6" w:rsidP="00DA4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41FF41" w14:textId="77777777" w:rsidR="00D51E73" w:rsidRPr="003811E8" w:rsidRDefault="00D51E73" w:rsidP="00D51E73">
      <w:pPr>
        <w:spacing w:line="248" w:lineRule="auto"/>
        <w:rPr>
          <w:rFonts w:ascii="Times New Roman" w:hAnsi="Times New Roman" w:cs="Times New Roman"/>
          <w:sz w:val="24"/>
          <w:szCs w:val="24"/>
        </w:rPr>
      </w:pPr>
      <w:r w:rsidRPr="003811E8">
        <w:rPr>
          <w:rFonts w:ascii="Times New Roman" w:hAnsi="Times New Roman" w:cs="Times New Roman"/>
          <w:sz w:val="24"/>
          <w:szCs w:val="24"/>
        </w:rPr>
        <w:t>Osnovna škola Marina Getaldića  je ustanova koja pruža osnovnoškolsko obrazovanje učenicima od 1.-8. razreda. Nastava je  od rujna 2023. organizirana u jednoj smjeni kroz petodnevni radni tjedan. Nastava se odvija na dvije lokacije: u školskoj zgradi Centar na adresi Nikole Gučetića 1, te Pobijana 8 / Ilije Sarake 7.</w:t>
      </w:r>
    </w:p>
    <w:p w14:paraId="72EA095F" w14:textId="77777777" w:rsidR="00D51E73" w:rsidRPr="003811E8" w:rsidRDefault="00D51E73" w:rsidP="00D51E73">
      <w:pPr>
        <w:rPr>
          <w:rFonts w:ascii="Times New Roman" w:hAnsi="Times New Roman" w:cs="Times New Roman"/>
          <w:sz w:val="24"/>
          <w:szCs w:val="24"/>
        </w:rPr>
      </w:pPr>
      <w:r w:rsidRPr="003811E8">
        <w:rPr>
          <w:rFonts w:ascii="Times New Roman" w:hAnsi="Times New Roman" w:cs="Times New Roman"/>
          <w:sz w:val="24"/>
          <w:szCs w:val="24"/>
        </w:rPr>
        <w:t xml:space="preserve">Nastava se odvija u oblicima: redovna, izborna, dodatna i dopunska, a izvodi se prema nastavnom planu i programu koje je donijelo </w:t>
      </w:r>
    </w:p>
    <w:p w14:paraId="17767A86" w14:textId="77777777" w:rsidR="00D51E73" w:rsidRPr="003811E8" w:rsidRDefault="00D51E73" w:rsidP="00D51E73">
      <w:pPr>
        <w:spacing w:line="238" w:lineRule="auto"/>
        <w:rPr>
          <w:rFonts w:ascii="Times New Roman" w:hAnsi="Times New Roman" w:cs="Times New Roman"/>
          <w:sz w:val="24"/>
          <w:szCs w:val="24"/>
        </w:rPr>
      </w:pPr>
      <w:r w:rsidRPr="003811E8">
        <w:rPr>
          <w:rFonts w:ascii="Times New Roman" w:hAnsi="Times New Roman" w:cs="Times New Roman"/>
          <w:sz w:val="24"/>
          <w:szCs w:val="24"/>
        </w:rPr>
        <w:t xml:space="preserve">Ministarstvo znanosti, obrazovanja i športa, prema Godišnjem planu i programu te školskom kurikulumu za školsku godinu 2024./2025.  </w:t>
      </w:r>
    </w:p>
    <w:p w14:paraId="374727A5" w14:textId="77777777" w:rsidR="00D51E73" w:rsidRPr="003811E8" w:rsidRDefault="00D51E73" w:rsidP="00D51E73">
      <w:pPr>
        <w:rPr>
          <w:rFonts w:ascii="Times New Roman" w:hAnsi="Times New Roman" w:cs="Times New Roman"/>
          <w:sz w:val="24"/>
          <w:szCs w:val="24"/>
        </w:rPr>
      </w:pPr>
      <w:r w:rsidRPr="00381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8AAED" w14:textId="28EBB824" w:rsidR="00D51E73" w:rsidRPr="003811E8" w:rsidRDefault="00D51E73" w:rsidP="00D51E73">
      <w:pPr>
        <w:rPr>
          <w:rFonts w:ascii="Times New Roman" w:hAnsi="Times New Roman" w:cs="Times New Roman"/>
          <w:sz w:val="24"/>
          <w:szCs w:val="24"/>
        </w:rPr>
      </w:pPr>
      <w:r w:rsidRPr="003811E8">
        <w:rPr>
          <w:rFonts w:ascii="Times New Roman" w:hAnsi="Times New Roman" w:cs="Times New Roman"/>
          <w:sz w:val="24"/>
          <w:szCs w:val="24"/>
        </w:rPr>
        <w:t>U školskoj 202</w:t>
      </w:r>
      <w:r w:rsidR="00285DF0">
        <w:rPr>
          <w:rFonts w:ascii="Times New Roman" w:hAnsi="Times New Roman" w:cs="Times New Roman"/>
          <w:sz w:val="24"/>
          <w:szCs w:val="24"/>
        </w:rPr>
        <w:t>5</w:t>
      </w:r>
      <w:r w:rsidRPr="003811E8">
        <w:rPr>
          <w:rFonts w:ascii="Times New Roman" w:hAnsi="Times New Roman" w:cs="Times New Roman"/>
          <w:sz w:val="24"/>
          <w:szCs w:val="24"/>
        </w:rPr>
        <w:t>./202</w:t>
      </w:r>
      <w:r w:rsidR="00285DF0">
        <w:rPr>
          <w:rFonts w:ascii="Times New Roman" w:hAnsi="Times New Roman" w:cs="Times New Roman"/>
          <w:sz w:val="24"/>
          <w:szCs w:val="24"/>
        </w:rPr>
        <w:t>6</w:t>
      </w:r>
      <w:r w:rsidRPr="003811E8">
        <w:rPr>
          <w:rFonts w:ascii="Times New Roman" w:hAnsi="Times New Roman" w:cs="Times New Roman"/>
          <w:sz w:val="24"/>
          <w:szCs w:val="24"/>
        </w:rPr>
        <w:t>. u OŠ Marina Getaldića upisano je 2</w:t>
      </w:r>
      <w:r w:rsidR="00285DF0">
        <w:rPr>
          <w:rFonts w:ascii="Times New Roman" w:hAnsi="Times New Roman" w:cs="Times New Roman"/>
          <w:sz w:val="24"/>
          <w:szCs w:val="24"/>
        </w:rPr>
        <w:t xml:space="preserve">79 </w:t>
      </w:r>
      <w:r w:rsidRPr="003811E8">
        <w:rPr>
          <w:rFonts w:ascii="Times New Roman" w:hAnsi="Times New Roman" w:cs="Times New Roman"/>
          <w:sz w:val="24"/>
          <w:szCs w:val="24"/>
        </w:rPr>
        <w:t xml:space="preserve">učenika. </w:t>
      </w:r>
    </w:p>
    <w:p w14:paraId="1052129A" w14:textId="77777777" w:rsidR="00D51E73" w:rsidRPr="003811E8" w:rsidRDefault="00D51E73" w:rsidP="00D51E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760" w:type="dxa"/>
        <w:tblInd w:w="5" w:type="dxa"/>
        <w:tblCellMar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2021"/>
        <w:gridCol w:w="1958"/>
        <w:gridCol w:w="1781"/>
      </w:tblGrid>
      <w:tr w:rsidR="00D51E73" w:rsidRPr="003811E8" w14:paraId="586431F4" w14:textId="77777777" w:rsidTr="00C613BF">
        <w:trPr>
          <w:trHeight w:val="47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7A062E1" w14:textId="77777777" w:rsidR="00D51E73" w:rsidRPr="003811E8" w:rsidRDefault="00D51E73" w:rsidP="00D51E73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E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Školska godina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EFE2FC7" w14:textId="77777777" w:rsidR="00D51E73" w:rsidRPr="003811E8" w:rsidRDefault="00D51E73" w:rsidP="00D51E73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E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Broj učenika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87B9733" w14:textId="77777777" w:rsidR="00D51E73" w:rsidRPr="003811E8" w:rsidRDefault="00D51E73" w:rsidP="00D51E73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E8">
              <w:rPr>
                <w:rFonts w:ascii="Times New Roman" w:eastAsia="Arial" w:hAnsi="Times New Roman" w:cs="Times New Roman"/>
                <w:sz w:val="24"/>
                <w:szCs w:val="24"/>
              </w:rPr>
              <w:t>Razrednih odjela</w:t>
            </w:r>
          </w:p>
        </w:tc>
      </w:tr>
      <w:tr w:rsidR="00D51E73" w:rsidRPr="003811E8" w14:paraId="155C1EE3" w14:textId="77777777" w:rsidTr="00C613BF">
        <w:trPr>
          <w:trHeight w:val="264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16DD40D9" w14:textId="77777777" w:rsidR="00D51E73" w:rsidRPr="003811E8" w:rsidRDefault="00D51E73" w:rsidP="00D51E73">
            <w:pPr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D8B31" w14:textId="7CB2B6FB" w:rsidR="00D51E73" w:rsidRPr="003811E8" w:rsidRDefault="00D51E73" w:rsidP="00D51E73">
            <w:pPr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5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11E8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285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A19FC8" w14:textId="77777777" w:rsidR="00D51E73" w:rsidRPr="003811E8" w:rsidRDefault="00D51E73" w:rsidP="00D51E73">
            <w:pPr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9259" w14:textId="77777777" w:rsidR="00D51E73" w:rsidRPr="003811E8" w:rsidRDefault="00D51E73" w:rsidP="00D51E73">
            <w:pPr>
              <w:ind w:right="8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AA403E" w14:textId="0051259A" w:rsidR="00D51E73" w:rsidRPr="003811E8" w:rsidRDefault="00D51E73" w:rsidP="00D51E73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5DF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512E" w14:textId="77777777" w:rsidR="00D51E73" w:rsidRPr="003811E8" w:rsidRDefault="00D51E73" w:rsidP="00D51E73">
            <w:pPr>
              <w:ind w:right="8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48A3691" w14:textId="06631ECE" w:rsidR="00D51E73" w:rsidRPr="003811E8" w:rsidRDefault="00D51E73" w:rsidP="00D51E73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1E8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285DF0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</w:tr>
      <w:tr w:rsidR="00D51E73" w:rsidRPr="003811E8" w14:paraId="4476BA69" w14:textId="77777777" w:rsidTr="00C613BF">
        <w:trPr>
          <w:trHeight w:val="26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0A19A583" w14:textId="77777777" w:rsidR="00D51E73" w:rsidRPr="003811E8" w:rsidRDefault="00D51E73" w:rsidP="00D51E73">
            <w:pPr>
              <w:ind w:right="8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4EF4B2A" w14:textId="2535FE30" w:rsidR="00D51E73" w:rsidRPr="003811E8" w:rsidRDefault="00D51E73" w:rsidP="00D51E73">
            <w:pPr>
              <w:ind w:right="8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811E8">
              <w:rPr>
                <w:rFonts w:ascii="Times New Roman" w:eastAsia="Arial" w:hAnsi="Times New Roman" w:cs="Times New Roman"/>
                <w:sz w:val="24"/>
                <w:szCs w:val="24"/>
              </w:rPr>
              <w:t>202</w:t>
            </w:r>
            <w:r w:rsidR="00285DF0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Pr="003811E8">
              <w:rPr>
                <w:rFonts w:ascii="Times New Roman" w:eastAsia="Arial" w:hAnsi="Times New Roman" w:cs="Times New Roman"/>
                <w:sz w:val="24"/>
                <w:szCs w:val="24"/>
              </w:rPr>
              <w:t>./202</w:t>
            </w:r>
            <w:r w:rsidR="00285DF0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  <w:p w14:paraId="3B23430E" w14:textId="77777777" w:rsidR="00D51E73" w:rsidRPr="003811E8" w:rsidRDefault="00D51E73" w:rsidP="00D51E73">
            <w:pPr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DC9" w14:textId="77777777" w:rsidR="00D51E73" w:rsidRPr="003811E8" w:rsidRDefault="00D51E73" w:rsidP="00D51E73">
            <w:pPr>
              <w:ind w:right="81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  <w:p w14:paraId="19DF2FB9" w14:textId="5AA5256C" w:rsidR="00D51E73" w:rsidRPr="003811E8" w:rsidRDefault="00285DF0" w:rsidP="00D51E73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8EAC" w14:textId="77777777" w:rsidR="00D51E73" w:rsidRPr="003811E8" w:rsidRDefault="00D51E73" w:rsidP="00D51E73">
            <w:pPr>
              <w:ind w:right="8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20C1462" w14:textId="06851456" w:rsidR="00D51E73" w:rsidRPr="003811E8" w:rsidRDefault="00285DF0" w:rsidP="00D51E73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5D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19DA1A93" w14:textId="77777777" w:rsidR="00D51E73" w:rsidRPr="003811E8" w:rsidRDefault="00D51E73" w:rsidP="00D51E73">
      <w:pPr>
        <w:rPr>
          <w:rFonts w:ascii="Times New Roman" w:hAnsi="Times New Roman" w:cs="Times New Roman"/>
          <w:sz w:val="24"/>
          <w:szCs w:val="24"/>
        </w:rPr>
      </w:pPr>
    </w:p>
    <w:p w14:paraId="5F3A375E" w14:textId="72CA8218" w:rsidR="00D51E73" w:rsidRPr="003811E8" w:rsidRDefault="00D51E73" w:rsidP="00D51E73">
      <w:pPr>
        <w:rPr>
          <w:rFonts w:ascii="Times New Roman" w:hAnsi="Times New Roman" w:cs="Times New Roman"/>
          <w:sz w:val="24"/>
          <w:szCs w:val="24"/>
        </w:rPr>
      </w:pPr>
      <w:r w:rsidRPr="003811E8">
        <w:rPr>
          <w:rFonts w:ascii="Times New Roman" w:hAnsi="Times New Roman" w:cs="Times New Roman"/>
          <w:sz w:val="24"/>
          <w:szCs w:val="24"/>
        </w:rPr>
        <w:t>U ovoj školskoj godini školu pohađa 2</w:t>
      </w:r>
      <w:r w:rsidR="00285DF0">
        <w:rPr>
          <w:rFonts w:ascii="Times New Roman" w:hAnsi="Times New Roman" w:cs="Times New Roman"/>
          <w:sz w:val="24"/>
          <w:szCs w:val="24"/>
        </w:rPr>
        <w:t>79</w:t>
      </w:r>
      <w:r w:rsidRPr="003811E8">
        <w:rPr>
          <w:rFonts w:ascii="Times New Roman" w:hAnsi="Times New Roman" w:cs="Times New Roman"/>
          <w:sz w:val="24"/>
          <w:szCs w:val="24"/>
        </w:rPr>
        <w:t xml:space="preserve">  učenika raspoređenih u 16 razredna odjela matične , u dvije školske zgrade i to u školskoj zgradi Centar od </w:t>
      </w:r>
      <w:r w:rsidR="00285DF0">
        <w:rPr>
          <w:rFonts w:ascii="Times New Roman" w:hAnsi="Times New Roman" w:cs="Times New Roman"/>
          <w:sz w:val="24"/>
          <w:szCs w:val="24"/>
        </w:rPr>
        <w:t>5</w:t>
      </w:r>
      <w:r w:rsidRPr="003811E8">
        <w:rPr>
          <w:rFonts w:ascii="Times New Roman" w:hAnsi="Times New Roman" w:cs="Times New Roman"/>
          <w:sz w:val="24"/>
          <w:szCs w:val="24"/>
        </w:rPr>
        <w:t xml:space="preserve">.-8. razreda, i u školskoj zgradi Karmen od 1.- </w:t>
      </w:r>
      <w:r w:rsidR="00285DF0">
        <w:rPr>
          <w:rFonts w:ascii="Times New Roman" w:hAnsi="Times New Roman" w:cs="Times New Roman"/>
          <w:sz w:val="24"/>
          <w:szCs w:val="24"/>
        </w:rPr>
        <w:t>4</w:t>
      </w:r>
      <w:r w:rsidRPr="003811E8">
        <w:rPr>
          <w:rFonts w:ascii="Times New Roman" w:hAnsi="Times New Roman" w:cs="Times New Roman"/>
          <w:sz w:val="24"/>
          <w:szCs w:val="24"/>
        </w:rPr>
        <w:t xml:space="preserve">.razreda. </w:t>
      </w:r>
    </w:p>
    <w:p w14:paraId="576AF34E" w14:textId="6D5E77A8" w:rsidR="00D51E73" w:rsidRPr="003811E8" w:rsidRDefault="00D51E73" w:rsidP="00D51E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1E8">
        <w:rPr>
          <w:rFonts w:ascii="Times New Roman" w:hAnsi="Times New Roman" w:cs="Times New Roman"/>
          <w:sz w:val="24"/>
          <w:szCs w:val="24"/>
        </w:rPr>
        <w:t xml:space="preserve">U Školskoj zgradi Karmen organizirana je nastava produženog boravka u dvije grupe, 1. i 2. razreda i to u grupi 1. razreda </w:t>
      </w:r>
      <w:r w:rsidR="00285DF0">
        <w:rPr>
          <w:rFonts w:ascii="Times New Roman" w:hAnsi="Times New Roman" w:cs="Times New Roman"/>
          <w:sz w:val="24"/>
          <w:szCs w:val="24"/>
        </w:rPr>
        <w:t>30</w:t>
      </w:r>
      <w:r w:rsidRPr="003811E8">
        <w:rPr>
          <w:rFonts w:ascii="Times New Roman" w:hAnsi="Times New Roman" w:cs="Times New Roman"/>
          <w:sz w:val="24"/>
          <w:szCs w:val="24"/>
        </w:rPr>
        <w:t xml:space="preserve">  </w:t>
      </w:r>
      <w:r w:rsidRPr="00381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učenika, a u grupi 2. razreda </w:t>
      </w:r>
      <w:r w:rsidR="00285DF0">
        <w:rPr>
          <w:rFonts w:ascii="Times New Roman" w:hAnsi="Times New Roman" w:cs="Times New Roman"/>
          <w:color w:val="000000" w:themeColor="text1"/>
          <w:sz w:val="24"/>
          <w:szCs w:val="24"/>
        </w:rPr>
        <w:t>23 učenika.</w:t>
      </w:r>
    </w:p>
    <w:p w14:paraId="38ACA662" w14:textId="5277BEB7" w:rsidR="00DA4CE6" w:rsidRPr="003811E8" w:rsidRDefault="00DA4CE6" w:rsidP="00DA4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F0F1D0" w14:textId="0AF39039" w:rsidR="008F00FA" w:rsidRPr="002C220A" w:rsidRDefault="008F00FA" w:rsidP="00A62B95">
      <w:pPr>
        <w:shd w:val="clear" w:color="auto" w:fill="DAEEF3" w:themeFill="accent5" w:themeFillTint="33"/>
        <w:rPr>
          <w:rFonts w:cstheme="minorHAnsi"/>
        </w:rPr>
      </w:pPr>
      <w:r w:rsidRPr="002C220A">
        <w:rPr>
          <w:rFonts w:cstheme="minorHAnsi"/>
        </w:rPr>
        <w:t xml:space="preserve">Broj djelatnika šk. godini 2025/2026:                                </w:t>
      </w:r>
      <w:r>
        <w:rPr>
          <w:rFonts w:cstheme="minorHAnsi"/>
        </w:rPr>
        <w:t xml:space="preserve">   </w:t>
      </w:r>
      <w:r w:rsidR="00A62B95">
        <w:rPr>
          <w:rFonts w:cstheme="minorHAnsi"/>
        </w:rPr>
        <w:t xml:space="preserve">   </w:t>
      </w:r>
      <w:r>
        <w:rPr>
          <w:rFonts w:cstheme="minorHAnsi"/>
        </w:rPr>
        <w:t xml:space="preserve">       53</w:t>
      </w:r>
    </w:p>
    <w:p w14:paraId="25799EEB" w14:textId="71524C5A" w:rsidR="008F00FA" w:rsidRPr="00175278" w:rsidRDefault="008F00FA" w:rsidP="008F00FA">
      <w:pPr>
        <w:pStyle w:val="Odlomakpopisa"/>
        <w:numPr>
          <w:ilvl w:val="0"/>
          <w:numId w:val="16"/>
        </w:numPr>
        <w:spacing w:after="0" w:line="259" w:lineRule="auto"/>
        <w:rPr>
          <w:rFonts w:cstheme="minorHAnsi"/>
          <w:u w:val="single"/>
        </w:rPr>
      </w:pPr>
      <w:bookmarkStart w:id="0" w:name="_GoBack"/>
      <w:r w:rsidRPr="00175278">
        <w:rPr>
          <w:rFonts w:cstheme="minorHAnsi"/>
          <w:u w:val="single"/>
        </w:rPr>
        <w:t xml:space="preserve">Ravnateljica                                                            </w:t>
      </w:r>
      <w:r w:rsidR="00A62B95">
        <w:rPr>
          <w:rFonts w:cstheme="minorHAnsi"/>
          <w:u w:val="single"/>
        </w:rPr>
        <w:t xml:space="preserve">  </w:t>
      </w:r>
      <w:r w:rsidRPr="00175278">
        <w:rPr>
          <w:rFonts w:cstheme="minorHAnsi"/>
          <w:u w:val="single"/>
        </w:rPr>
        <w:t xml:space="preserve">    </w:t>
      </w:r>
      <w:r w:rsidR="00A62B95">
        <w:rPr>
          <w:rFonts w:cstheme="minorHAnsi"/>
          <w:u w:val="single"/>
        </w:rPr>
        <w:t xml:space="preserve">  </w:t>
      </w:r>
      <w:r w:rsidRPr="00175278">
        <w:rPr>
          <w:rFonts w:cstheme="minorHAnsi"/>
          <w:u w:val="single"/>
        </w:rPr>
        <w:t xml:space="preserve">    </w:t>
      </w:r>
      <w:r>
        <w:rPr>
          <w:rFonts w:cstheme="minorHAnsi"/>
          <w:u w:val="single"/>
        </w:rPr>
        <w:t xml:space="preserve">    1</w:t>
      </w:r>
    </w:p>
    <w:p w14:paraId="45D2557E" w14:textId="4D46F290" w:rsidR="008F00FA" w:rsidRPr="001B7DB8" w:rsidRDefault="008F00FA" w:rsidP="008F00FA">
      <w:pPr>
        <w:pStyle w:val="Odlomakpopisa"/>
        <w:numPr>
          <w:ilvl w:val="0"/>
          <w:numId w:val="16"/>
        </w:numPr>
        <w:spacing w:after="0" w:line="259" w:lineRule="auto"/>
        <w:rPr>
          <w:rFonts w:cstheme="minorHAnsi"/>
        </w:rPr>
      </w:pPr>
      <w:r w:rsidRPr="001B7DB8">
        <w:rPr>
          <w:rFonts w:cstheme="minorHAnsi"/>
        </w:rPr>
        <w:t xml:space="preserve">Stručni suradnici                                                     </w:t>
      </w:r>
      <w:r w:rsidR="00A62B95">
        <w:rPr>
          <w:rFonts w:cstheme="minorHAnsi"/>
        </w:rPr>
        <w:t xml:space="preserve">  </w:t>
      </w:r>
      <w:r w:rsidRPr="001B7DB8">
        <w:rPr>
          <w:rFonts w:cstheme="minorHAnsi"/>
        </w:rPr>
        <w:t xml:space="preserve">      </w:t>
      </w:r>
      <w:r>
        <w:rPr>
          <w:rFonts w:cstheme="minorHAnsi"/>
        </w:rPr>
        <w:t xml:space="preserve">   </w:t>
      </w:r>
      <w:r w:rsidR="00A62B95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1B7DB8">
        <w:rPr>
          <w:rFonts w:cstheme="minorHAnsi"/>
        </w:rPr>
        <w:t xml:space="preserve"> </w:t>
      </w:r>
      <w:r>
        <w:rPr>
          <w:rFonts w:cstheme="minorHAnsi"/>
        </w:rPr>
        <w:t>5</w:t>
      </w:r>
    </w:p>
    <w:p w14:paraId="31269E7D" w14:textId="4DABB272" w:rsidR="008F00FA" w:rsidRPr="001B7DB8" w:rsidRDefault="008F00FA" w:rsidP="008F00FA">
      <w:pPr>
        <w:pStyle w:val="Odlomakpopisa"/>
        <w:numPr>
          <w:ilvl w:val="0"/>
          <w:numId w:val="16"/>
        </w:numPr>
        <w:spacing w:after="0" w:line="259" w:lineRule="auto"/>
        <w:rPr>
          <w:rFonts w:cstheme="minorHAnsi"/>
        </w:rPr>
      </w:pPr>
      <w:r w:rsidRPr="001B7DB8">
        <w:rPr>
          <w:rFonts w:cstheme="minorHAnsi"/>
        </w:rPr>
        <w:t xml:space="preserve">Učitelji razredne nastave                                           </w:t>
      </w:r>
      <w:r w:rsidR="00A62B95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Pr="001B7DB8">
        <w:rPr>
          <w:rFonts w:cstheme="minorHAnsi"/>
        </w:rPr>
        <w:t xml:space="preserve"> </w:t>
      </w:r>
      <w:r>
        <w:rPr>
          <w:rFonts w:cstheme="minorHAnsi"/>
        </w:rPr>
        <w:t xml:space="preserve">  12</w:t>
      </w:r>
    </w:p>
    <w:p w14:paraId="319AE17A" w14:textId="24C83659" w:rsidR="008F00FA" w:rsidRPr="001B7DB8" w:rsidRDefault="008F00FA" w:rsidP="008F00FA">
      <w:pPr>
        <w:pStyle w:val="Odlomakpopisa"/>
        <w:numPr>
          <w:ilvl w:val="0"/>
          <w:numId w:val="16"/>
        </w:numPr>
        <w:spacing w:after="0" w:line="259" w:lineRule="auto"/>
        <w:rPr>
          <w:rFonts w:cstheme="minorHAnsi"/>
        </w:rPr>
      </w:pPr>
      <w:r w:rsidRPr="001B7DB8">
        <w:rPr>
          <w:rFonts w:cstheme="minorHAnsi"/>
        </w:rPr>
        <w:t xml:space="preserve">Učitelji predmetne nastave                                       </w:t>
      </w:r>
      <w:r w:rsidR="00A62B95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1B7DB8">
        <w:rPr>
          <w:rFonts w:cstheme="minorHAnsi"/>
        </w:rPr>
        <w:t xml:space="preserve"> </w:t>
      </w:r>
      <w:r>
        <w:rPr>
          <w:rFonts w:cstheme="minorHAnsi"/>
        </w:rPr>
        <w:t xml:space="preserve">     22</w:t>
      </w:r>
    </w:p>
    <w:p w14:paraId="1DC8C46A" w14:textId="2FD9C123" w:rsidR="008F00FA" w:rsidRPr="00175278" w:rsidRDefault="008F00FA" w:rsidP="008F00FA">
      <w:pPr>
        <w:pStyle w:val="Odlomakpopisa"/>
        <w:numPr>
          <w:ilvl w:val="0"/>
          <w:numId w:val="16"/>
        </w:numPr>
        <w:spacing w:after="0" w:line="259" w:lineRule="auto"/>
        <w:rPr>
          <w:rFonts w:cstheme="minorHAnsi"/>
          <w:u w:val="single"/>
        </w:rPr>
      </w:pPr>
      <w:r w:rsidRPr="00175278">
        <w:rPr>
          <w:rFonts w:cstheme="minorHAnsi"/>
          <w:u w:val="single"/>
        </w:rPr>
        <w:t>Učitelji Škole s posebnim programom</w:t>
      </w:r>
      <w:r>
        <w:rPr>
          <w:rFonts w:cstheme="minorHAnsi"/>
          <w:u w:val="single"/>
        </w:rPr>
        <w:t xml:space="preserve">                       </w:t>
      </w:r>
      <w:r w:rsidR="00A62B95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 xml:space="preserve">      0</w:t>
      </w:r>
    </w:p>
    <w:p w14:paraId="3A23C7BD" w14:textId="4FD31629" w:rsidR="008F00FA" w:rsidRPr="001B7DB8" w:rsidRDefault="008F00FA" w:rsidP="008F00FA">
      <w:pPr>
        <w:pStyle w:val="Odlomakpopisa"/>
        <w:numPr>
          <w:ilvl w:val="0"/>
          <w:numId w:val="16"/>
        </w:numPr>
        <w:spacing w:after="0" w:line="259" w:lineRule="auto"/>
        <w:rPr>
          <w:rFonts w:cstheme="minorHAnsi"/>
        </w:rPr>
      </w:pPr>
      <w:r w:rsidRPr="001B7DB8">
        <w:rPr>
          <w:rFonts w:cstheme="minorHAnsi"/>
        </w:rPr>
        <w:t xml:space="preserve">Administrativno – tehničko osoblje                         </w:t>
      </w:r>
      <w:r>
        <w:rPr>
          <w:rFonts w:cstheme="minorHAnsi"/>
        </w:rPr>
        <w:t xml:space="preserve">   </w:t>
      </w:r>
      <w:r w:rsidR="00A62B95">
        <w:rPr>
          <w:rFonts w:cstheme="minorHAnsi"/>
        </w:rPr>
        <w:t xml:space="preserve"> </w:t>
      </w:r>
      <w:r>
        <w:rPr>
          <w:rFonts w:cstheme="minorHAnsi"/>
        </w:rPr>
        <w:t xml:space="preserve">     8</w:t>
      </w:r>
    </w:p>
    <w:p w14:paraId="09B25E1A" w14:textId="7005F071" w:rsidR="008F00FA" w:rsidRPr="001B7DB8" w:rsidRDefault="008F00FA" w:rsidP="008F00FA">
      <w:pPr>
        <w:pStyle w:val="Odlomakpopisa"/>
        <w:numPr>
          <w:ilvl w:val="0"/>
          <w:numId w:val="16"/>
        </w:numPr>
        <w:spacing w:after="0" w:line="259" w:lineRule="auto"/>
        <w:rPr>
          <w:rFonts w:cstheme="minorHAnsi"/>
        </w:rPr>
      </w:pPr>
      <w:r w:rsidRPr="001B7DB8">
        <w:rPr>
          <w:rFonts w:cstheme="minorHAnsi"/>
        </w:rPr>
        <w:t xml:space="preserve">Pomoćnici u nastavi                                             </w:t>
      </w:r>
      <w:r>
        <w:rPr>
          <w:rFonts w:cstheme="minorHAnsi"/>
        </w:rPr>
        <w:t xml:space="preserve"> </w:t>
      </w:r>
      <w:r w:rsidRPr="001B7DB8">
        <w:rPr>
          <w:rFonts w:cstheme="minorHAnsi"/>
        </w:rPr>
        <w:t xml:space="preserve">    </w:t>
      </w:r>
      <w:r>
        <w:rPr>
          <w:rFonts w:cstheme="minorHAnsi"/>
        </w:rPr>
        <w:t xml:space="preserve">        </w:t>
      </w:r>
      <w:r w:rsidR="00A62B95">
        <w:rPr>
          <w:rFonts w:cstheme="minorHAnsi"/>
        </w:rPr>
        <w:t xml:space="preserve"> </w:t>
      </w:r>
      <w:r>
        <w:rPr>
          <w:rFonts w:cstheme="minorHAnsi"/>
        </w:rPr>
        <w:t xml:space="preserve">  5</w:t>
      </w:r>
    </w:p>
    <w:p w14:paraId="1AD0C704" w14:textId="77777777" w:rsidR="008F00FA" w:rsidRPr="001B7DB8" w:rsidRDefault="008F00FA" w:rsidP="008F00FA">
      <w:pPr>
        <w:spacing w:after="0"/>
        <w:rPr>
          <w:rFonts w:cstheme="minorHAnsi"/>
        </w:rPr>
      </w:pPr>
    </w:p>
    <w:bookmarkEnd w:id="0"/>
    <w:p w14:paraId="54E98B18" w14:textId="421F2C1C" w:rsidR="003811E8" w:rsidRPr="003811E8" w:rsidRDefault="003811E8" w:rsidP="003811E8">
      <w:pPr>
        <w:rPr>
          <w:rFonts w:ascii="Times New Roman" w:hAnsi="Times New Roman" w:cs="Times New Roman"/>
          <w:sz w:val="24"/>
          <w:szCs w:val="24"/>
        </w:rPr>
      </w:pPr>
    </w:p>
    <w:p w14:paraId="1E8A0C89" w14:textId="1C6D7675" w:rsidR="003811E8" w:rsidRPr="003811E8" w:rsidRDefault="003811E8" w:rsidP="003811E8">
      <w:pPr>
        <w:rPr>
          <w:rFonts w:ascii="Times New Roman" w:hAnsi="Times New Roman" w:cs="Times New Roman"/>
          <w:sz w:val="24"/>
          <w:szCs w:val="24"/>
        </w:rPr>
      </w:pPr>
      <w:r w:rsidRPr="003811E8">
        <w:rPr>
          <w:rFonts w:ascii="Times New Roman" w:hAnsi="Times New Roman" w:cs="Times New Roman"/>
          <w:sz w:val="24"/>
          <w:szCs w:val="24"/>
        </w:rPr>
        <w:t xml:space="preserve">2. U programima iznad minimalnog standarda </w:t>
      </w:r>
      <w:r w:rsidR="00634FBD">
        <w:rPr>
          <w:rFonts w:ascii="Times New Roman" w:hAnsi="Times New Roman" w:cs="Times New Roman"/>
          <w:sz w:val="24"/>
          <w:szCs w:val="24"/>
        </w:rPr>
        <w:t>9</w:t>
      </w:r>
      <w:r w:rsidRPr="003811E8">
        <w:rPr>
          <w:rFonts w:ascii="Times New Roman" w:hAnsi="Times New Roman" w:cs="Times New Roman"/>
          <w:sz w:val="24"/>
          <w:szCs w:val="24"/>
        </w:rPr>
        <w:t xml:space="preserve"> radnika: </w:t>
      </w:r>
    </w:p>
    <w:p w14:paraId="310F9E11" w14:textId="658C254D" w:rsidR="003811E8" w:rsidRPr="003811E8" w:rsidRDefault="003811E8" w:rsidP="003811E8">
      <w:pPr>
        <w:numPr>
          <w:ilvl w:val="0"/>
          <w:numId w:val="9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11E8">
        <w:rPr>
          <w:rFonts w:ascii="Times New Roman" w:hAnsi="Times New Roman" w:cs="Times New Roman"/>
          <w:sz w:val="24"/>
          <w:szCs w:val="24"/>
        </w:rPr>
        <w:t xml:space="preserve"> učitelja razredne nastave u Produženom boravku, </w:t>
      </w:r>
    </w:p>
    <w:p w14:paraId="3F2FB1CA" w14:textId="40EBFD39" w:rsidR="003811E8" w:rsidRDefault="003811E8" w:rsidP="003811E8">
      <w:pPr>
        <w:numPr>
          <w:ilvl w:val="0"/>
          <w:numId w:val="9"/>
        </w:numPr>
        <w:spacing w:after="47" w:line="259" w:lineRule="auto"/>
        <w:rPr>
          <w:rFonts w:ascii="Times New Roman" w:hAnsi="Times New Roman" w:cs="Times New Roman"/>
          <w:sz w:val="24"/>
          <w:szCs w:val="24"/>
        </w:rPr>
      </w:pPr>
      <w:r w:rsidRPr="003811E8">
        <w:rPr>
          <w:rFonts w:ascii="Times New Roman" w:hAnsi="Times New Roman" w:cs="Times New Roman"/>
          <w:sz w:val="24"/>
          <w:szCs w:val="24"/>
        </w:rPr>
        <w:t xml:space="preserve">1 socijalni pedagog </w:t>
      </w:r>
    </w:p>
    <w:p w14:paraId="385E3F63" w14:textId="41996E28" w:rsidR="008F00FA" w:rsidRPr="003811E8" w:rsidRDefault="008F00FA" w:rsidP="003811E8">
      <w:pPr>
        <w:numPr>
          <w:ilvl w:val="0"/>
          <w:numId w:val="9"/>
        </w:numPr>
        <w:spacing w:after="47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kuh</w:t>
      </w:r>
      <w:r w:rsidR="001A02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rica</w:t>
      </w:r>
    </w:p>
    <w:p w14:paraId="56DC4666" w14:textId="179B3FD1" w:rsidR="00DA4CE6" w:rsidRPr="001A6820" w:rsidRDefault="00634FBD" w:rsidP="001A6820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20">
        <w:rPr>
          <w:rFonts w:ascii="Times New Roman" w:hAnsi="Times New Roman" w:cs="Times New Roman"/>
          <w:sz w:val="24"/>
          <w:szCs w:val="24"/>
        </w:rPr>
        <w:t>5</w:t>
      </w:r>
      <w:r w:rsidR="003811E8" w:rsidRPr="001A6820">
        <w:rPr>
          <w:rFonts w:ascii="Times New Roman" w:hAnsi="Times New Roman" w:cs="Times New Roman"/>
          <w:sz w:val="24"/>
          <w:szCs w:val="24"/>
        </w:rPr>
        <w:t xml:space="preserve"> pomoćnika u nastavi za djecu s teškoćama u razvoju                  </w:t>
      </w:r>
    </w:p>
    <w:p w14:paraId="421DA089" w14:textId="77777777" w:rsidR="006B5CCE" w:rsidRPr="002A45F3" w:rsidRDefault="006B5CCE" w:rsidP="003E2D5C">
      <w:pPr>
        <w:spacing w:after="0"/>
        <w:rPr>
          <w:rFonts w:ascii="Arial" w:hAnsi="Arial" w:cs="Arial"/>
        </w:rPr>
      </w:pPr>
    </w:p>
    <w:p w14:paraId="05A47506" w14:textId="0CC93C5A" w:rsidR="00AC113D" w:rsidRPr="002A45F3" w:rsidRDefault="00AC113D" w:rsidP="00CD68DB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2A45F3">
        <w:rPr>
          <w:rFonts w:ascii="Arial" w:hAnsi="Arial" w:cs="Arial"/>
        </w:rPr>
        <w:t>Daje se pregled financijskih sredstava po programima:</w:t>
      </w:r>
    </w:p>
    <w:p w14:paraId="38AF16E1" w14:textId="77777777" w:rsidR="004834C9" w:rsidRPr="002A45F3" w:rsidRDefault="004834C9" w:rsidP="004834C9">
      <w:pPr>
        <w:pStyle w:val="Odlomakpopisa"/>
        <w:rPr>
          <w:rFonts w:ascii="Arial" w:hAnsi="Arial" w:cs="Arial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88"/>
        <w:gridCol w:w="1417"/>
        <w:gridCol w:w="1560"/>
        <w:gridCol w:w="1701"/>
      </w:tblGrid>
      <w:tr w:rsidR="004834C9" w:rsidRPr="002A45F3" w14:paraId="1E7CB1E6" w14:textId="77777777" w:rsidTr="002A45F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AF4F" w14:textId="77777777" w:rsidR="004834C9" w:rsidRPr="002A45F3" w:rsidRDefault="004834C9" w:rsidP="00483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bookmarkStart w:id="1" w:name="_Hlk208837048"/>
            <w:bookmarkStart w:id="2" w:name="_Hlk208837152"/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programa iz Proračuna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3C58" w14:textId="77777777" w:rsidR="004834C9" w:rsidRPr="002A45F3" w:rsidRDefault="004834C9" w:rsidP="00483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0A34E339" w14:textId="77777777" w:rsidR="004834C9" w:rsidRPr="002A45F3" w:rsidRDefault="004834C9" w:rsidP="00483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C0B9" w14:textId="77777777" w:rsidR="004834C9" w:rsidRPr="002A45F3" w:rsidRDefault="004834C9" w:rsidP="00483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06D749D5" w14:textId="77777777" w:rsidR="004834C9" w:rsidRPr="002A45F3" w:rsidRDefault="004834C9" w:rsidP="00483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34F1" w14:textId="77777777" w:rsidR="004834C9" w:rsidRPr="002A45F3" w:rsidRDefault="004834C9" w:rsidP="00483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BCBE" w14:textId="77777777" w:rsidR="004834C9" w:rsidRPr="002A45F3" w:rsidRDefault="004834C9" w:rsidP="00483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bookmarkEnd w:id="1"/>
      <w:tr w:rsidR="00634FBD" w:rsidRPr="002A45F3" w14:paraId="2061E085" w14:textId="77777777" w:rsidTr="00C613BF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0BF590" w14:textId="77777777" w:rsidR="00634FBD" w:rsidRPr="002A45F3" w:rsidRDefault="00634FBD" w:rsidP="00634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18054 DECENTRALIZIRANE FUNKCIJE-MINIMALNI FINANCIJSKI STANDARD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5D8517A" w14:textId="1EC95A3C" w:rsidR="00634FBD" w:rsidRPr="002A45F3" w:rsidRDefault="00634FBD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1.139.600,00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BAB00E" w14:textId="31218651" w:rsidR="00634FBD" w:rsidRPr="002A45F3" w:rsidRDefault="00634FBD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  <w:r w:rsidR="009A79AF">
              <w:rPr>
                <w:rFonts w:ascii="Calibri" w:hAnsi="Calibri" w:cs="Calibri"/>
                <w:b/>
                <w:bCs/>
              </w:rPr>
              <w:t>261.800</w:t>
            </w:r>
            <w:r>
              <w:rPr>
                <w:rFonts w:ascii="Calibri" w:hAnsi="Calibri" w:cs="Calibri"/>
                <w:b/>
                <w:bCs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00DE6E" w14:textId="62C687C3" w:rsidR="00634FBD" w:rsidRPr="002A45F3" w:rsidRDefault="00634FBD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</w:rPr>
              <w:t>1.332.800,00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361F787" w14:textId="1546B89A" w:rsidR="00634FBD" w:rsidRPr="002A45F3" w:rsidRDefault="00634FBD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</w:rPr>
              <w:t>1.332.800,00</w:t>
            </w:r>
          </w:p>
        </w:tc>
      </w:tr>
      <w:tr w:rsidR="00634FBD" w:rsidRPr="002A45F3" w14:paraId="22B0979C" w14:textId="77777777" w:rsidTr="00C613BF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5EF0610" w14:textId="77777777" w:rsidR="00634FBD" w:rsidRPr="002A45F3" w:rsidRDefault="00634FBD" w:rsidP="00634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18055 DECENTRALIZIRANE FUNKCIJE-IZNAD MINIMALNOG FINANCIJSKOG STANDARDA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8730C" w14:textId="0824188A" w:rsidR="00634FBD" w:rsidRPr="002A45F3" w:rsidRDefault="00634FBD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343.190,00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26808" w14:textId="2FD8B9D7" w:rsidR="00634FBD" w:rsidRPr="002A45F3" w:rsidRDefault="006E02A1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342.290,00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DB81F" w14:textId="5A85E0B1" w:rsidR="00634FBD" w:rsidRPr="002A45F3" w:rsidRDefault="00634FBD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474.700,00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D6677" w14:textId="5D09C1F0" w:rsidR="00634FBD" w:rsidRPr="002A45F3" w:rsidRDefault="00634FBD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474.700,00</w:t>
            </w:r>
          </w:p>
        </w:tc>
      </w:tr>
      <w:tr w:rsidR="00634FBD" w:rsidRPr="002A45F3" w14:paraId="10179BF4" w14:textId="77777777" w:rsidTr="00C613BF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3CE3793" w14:textId="77777777" w:rsidR="00634FBD" w:rsidRPr="002A45F3" w:rsidRDefault="00634FBD" w:rsidP="00634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18056 KAPITALNO ULAGANJE U ŠKOLSTVO-MINIMALNI FINANCIJSKI STANDARD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B6A0" w14:textId="6D57DFED" w:rsidR="00634FBD" w:rsidRPr="002A45F3" w:rsidRDefault="00F43D11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9091D" w14:textId="4E4D2446" w:rsidR="00634FBD" w:rsidRPr="002A45F3" w:rsidRDefault="00F43D11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9A71" w14:textId="4063CB78" w:rsidR="00634FBD" w:rsidRPr="002A45F3" w:rsidRDefault="00F43D11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4B319" w14:textId="4D47D9C9" w:rsidR="00634FBD" w:rsidRPr="002A45F3" w:rsidRDefault="00F43D11" w:rsidP="00F43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</w:tr>
      <w:tr w:rsidR="00634FBD" w:rsidRPr="002A45F3" w14:paraId="1DD41668" w14:textId="77777777" w:rsidTr="00C613BF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4C69942" w14:textId="77777777" w:rsidR="00634FBD" w:rsidRPr="002A45F3" w:rsidRDefault="00634FBD" w:rsidP="00634F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18057 KAPITALNO ULAGANJE U ŠKOLSTVO-IZNAD MINIMALNOG FINANCIJSKOG STANDARDA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26CF8" w14:textId="14925141" w:rsidR="00634FBD" w:rsidRPr="002A45F3" w:rsidRDefault="00F43D11" w:rsidP="006E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B2076" w14:textId="70B02055" w:rsidR="00634FBD" w:rsidRPr="002A45F3" w:rsidRDefault="006E02A1" w:rsidP="006E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93BD0" w14:textId="4C43DD31" w:rsidR="00634FBD" w:rsidRPr="002A45F3" w:rsidRDefault="00F43D11" w:rsidP="006E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88F73" w14:textId="62896B94" w:rsidR="00634FBD" w:rsidRPr="002A45F3" w:rsidRDefault="00F43D11" w:rsidP="006E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0</w:t>
            </w:r>
          </w:p>
        </w:tc>
      </w:tr>
      <w:bookmarkEnd w:id="2"/>
    </w:tbl>
    <w:p w14:paraId="1BFEB593" w14:textId="15888B2B" w:rsidR="004834C9" w:rsidRPr="002A45F3" w:rsidRDefault="004834C9" w:rsidP="004834C9">
      <w:pPr>
        <w:pStyle w:val="Odlomakpopisa"/>
        <w:spacing w:after="0"/>
        <w:rPr>
          <w:rFonts w:ascii="Arial" w:hAnsi="Arial" w:cs="Arial"/>
        </w:rPr>
      </w:pPr>
    </w:p>
    <w:p w14:paraId="324F9E07" w14:textId="1EC79318" w:rsidR="004834C9" w:rsidRPr="002A45F3" w:rsidRDefault="004834C9" w:rsidP="004834C9">
      <w:pPr>
        <w:pStyle w:val="Odlomakpopisa"/>
        <w:spacing w:after="0"/>
        <w:rPr>
          <w:rFonts w:ascii="Arial" w:hAnsi="Arial" w:cs="Arial"/>
        </w:rPr>
      </w:pPr>
    </w:p>
    <w:p w14:paraId="6962CA58" w14:textId="0DF98EE1" w:rsidR="00C45D1E" w:rsidRPr="002A45F3" w:rsidRDefault="00C45D1E" w:rsidP="004834C9">
      <w:pPr>
        <w:pStyle w:val="Odlomakpopisa"/>
        <w:spacing w:after="0"/>
        <w:rPr>
          <w:rFonts w:ascii="Arial" w:hAnsi="Arial" w:cs="Arial"/>
        </w:rPr>
      </w:pPr>
    </w:p>
    <w:p w14:paraId="39EAF959" w14:textId="066C9A3C" w:rsidR="00C45D1E" w:rsidRPr="002A45F3" w:rsidRDefault="00C45D1E" w:rsidP="004834C9">
      <w:pPr>
        <w:pStyle w:val="Odlomakpopisa"/>
        <w:spacing w:after="0"/>
        <w:rPr>
          <w:rFonts w:ascii="Arial" w:hAnsi="Arial" w:cs="Arial"/>
        </w:rPr>
      </w:pPr>
    </w:p>
    <w:p w14:paraId="0F65AD8B" w14:textId="6BE74E32" w:rsidR="00C45D1E" w:rsidRDefault="00C45D1E" w:rsidP="004834C9">
      <w:pPr>
        <w:pStyle w:val="Odlomakpopisa"/>
        <w:spacing w:after="0"/>
        <w:rPr>
          <w:rFonts w:ascii="Arial" w:hAnsi="Arial" w:cs="Arial"/>
        </w:rPr>
      </w:pPr>
    </w:p>
    <w:p w14:paraId="23AFCF80" w14:textId="2AB81461" w:rsidR="00F43D11" w:rsidRDefault="00F43D11" w:rsidP="004834C9">
      <w:pPr>
        <w:pStyle w:val="Odlomakpopisa"/>
        <w:spacing w:after="0"/>
        <w:rPr>
          <w:rFonts w:ascii="Arial" w:hAnsi="Arial" w:cs="Arial"/>
        </w:rPr>
      </w:pPr>
    </w:p>
    <w:p w14:paraId="72F28D86" w14:textId="5E2C4809" w:rsidR="00F43D11" w:rsidRDefault="00F43D11" w:rsidP="004834C9">
      <w:pPr>
        <w:pStyle w:val="Odlomakpopisa"/>
        <w:spacing w:after="0"/>
        <w:rPr>
          <w:rFonts w:ascii="Arial" w:hAnsi="Arial" w:cs="Arial"/>
        </w:rPr>
      </w:pPr>
    </w:p>
    <w:p w14:paraId="63D472EF" w14:textId="684A29B7" w:rsidR="00F43D11" w:rsidRDefault="00F43D11" w:rsidP="004834C9">
      <w:pPr>
        <w:pStyle w:val="Odlomakpopisa"/>
        <w:spacing w:after="0"/>
        <w:rPr>
          <w:rFonts w:ascii="Arial" w:hAnsi="Arial" w:cs="Arial"/>
        </w:rPr>
      </w:pPr>
    </w:p>
    <w:p w14:paraId="002F4B18" w14:textId="316083A1" w:rsidR="00F43D11" w:rsidRDefault="00F43D11" w:rsidP="004834C9">
      <w:pPr>
        <w:pStyle w:val="Odlomakpopisa"/>
        <w:spacing w:after="0"/>
        <w:rPr>
          <w:rFonts w:ascii="Arial" w:hAnsi="Arial" w:cs="Arial"/>
        </w:rPr>
      </w:pPr>
    </w:p>
    <w:p w14:paraId="5EA67BE6" w14:textId="33EC0890" w:rsidR="00F43D11" w:rsidRDefault="00F43D11" w:rsidP="004834C9">
      <w:pPr>
        <w:pStyle w:val="Odlomakpopisa"/>
        <w:spacing w:after="0"/>
        <w:rPr>
          <w:rFonts w:ascii="Arial" w:hAnsi="Arial" w:cs="Arial"/>
        </w:rPr>
      </w:pPr>
    </w:p>
    <w:p w14:paraId="01114645" w14:textId="0EC18343" w:rsidR="00F43D11" w:rsidRDefault="00F43D11" w:rsidP="004834C9">
      <w:pPr>
        <w:pStyle w:val="Odlomakpopisa"/>
        <w:spacing w:after="0"/>
        <w:rPr>
          <w:rFonts w:ascii="Arial" w:hAnsi="Arial" w:cs="Arial"/>
        </w:rPr>
      </w:pPr>
    </w:p>
    <w:p w14:paraId="30D54BAD" w14:textId="01C502E2" w:rsidR="00F43D11" w:rsidRDefault="00F43D11" w:rsidP="004834C9">
      <w:pPr>
        <w:pStyle w:val="Odlomakpopisa"/>
        <w:spacing w:after="0"/>
        <w:rPr>
          <w:rFonts w:ascii="Arial" w:hAnsi="Arial" w:cs="Arial"/>
        </w:rPr>
      </w:pPr>
    </w:p>
    <w:p w14:paraId="7E0C3775" w14:textId="35B8712A" w:rsidR="00F43D11" w:rsidRDefault="00F43D11" w:rsidP="004834C9">
      <w:pPr>
        <w:pStyle w:val="Odlomakpopisa"/>
        <w:spacing w:after="0"/>
        <w:rPr>
          <w:rFonts w:ascii="Arial" w:hAnsi="Arial" w:cs="Arial"/>
        </w:rPr>
      </w:pPr>
    </w:p>
    <w:p w14:paraId="7FDA2F8C" w14:textId="705EFF26" w:rsidR="00F43D11" w:rsidRDefault="00F43D11" w:rsidP="004834C9">
      <w:pPr>
        <w:pStyle w:val="Odlomakpopisa"/>
        <w:spacing w:after="0"/>
        <w:rPr>
          <w:rFonts w:ascii="Arial" w:hAnsi="Arial" w:cs="Arial"/>
        </w:rPr>
      </w:pPr>
    </w:p>
    <w:p w14:paraId="076F4739" w14:textId="530C1745" w:rsidR="00F43D11" w:rsidRDefault="00F43D11" w:rsidP="004834C9">
      <w:pPr>
        <w:pStyle w:val="Odlomakpopisa"/>
        <w:spacing w:after="0"/>
        <w:rPr>
          <w:rFonts w:ascii="Arial" w:hAnsi="Arial" w:cs="Arial"/>
        </w:rPr>
      </w:pPr>
    </w:p>
    <w:p w14:paraId="11E58970" w14:textId="77777777" w:rsidR="00F43D11" w:rsidRPr="002A45F3" w:rsidRDefault="00F43D11" w:rsidP="004834C9">
      <w:pPr>
        <w:pStyle w:val="Odlomakpopisa"/>
        <w:spacing w:after="0"/>
        <w:rPr>
          <w:rFonts w:ascii="Arial" w:hAnsi="Arial" w:cs="Arial"/>
        </w:rPr>
      </w:pPr>
    </w:p>
    <w:p w14:paraId="291517DB" w14:textId="294107BF" w:rsidR="00C45D1E" w:rsidRPr="002A45F3" w:rsidRDefault="00C45D1E" w:rsidP="004834C9">
      <w:pPr>
        <w:pStyle w:val="Odlomakpopisa"/>
        <w:spacing w:after="0"/>
        <w:rPr>
          <w:rFonts w:ascii="Arial" w:hAnsi="Arial" w:cs="Arial"/>
        </w:rPr>
      </w:pPr>
    </w:p>
    <w:p w14:paraId="41537D7B" w14:textId="3B01ACE1" w:rsidR="00C45D1E" w:rsidRPr="002A45F3" w:rsidRDefault="00C45D1E" w:rsidP="002A45F3">
      <w:pPr>
        <w:spacing w:after="0"/>
        <w:rPr>
          <w:rFonts w:ascii="Arial" w:hAnsi="Arial" w:cs="Arial"/>
        </w:rPr>
      </w:pPr>
    </w:p>
    <w:p w14:paraId="3C9F8DD9" w14:textId="77777777" w:rsidR="00C45D1E" w:rsidRPr="002A45F3" w:rsidRDefault="00C45D1E" w:rsidP="00C45D1E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OBRAZLOŽENJE PROGRAMA</w:t>
      </w:r>
    </w:p>
    <w:p w14:paraId="0D1B3139" w14:textId="673C10E0" w:rsidR="004834C9" w:rsidRPr="002A45F3" w:rsidRDefault="004834C9" w:rsidP="004834C9">
      <w:pPr>
        <w:pStyle w:val="Odlomakpopisa"/>
        <w:spacing w:after="0"/>
        <w:rPr>
          <w:rFonts w:ascii="Arial" w:hAnsi="Arial" w:cs="Arial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562"/>
        <w:gridCol w:w="1311"/>
        <w:gridCol w:w="1834"/>
      </w:tblGrid>
      <w:tr w:rsidR="004834C9" w:rsidRPr="002A45F3" w14:paraId="3E32072A" w14:textId="77777777" w:rsidTr="00E069AB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7778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FAEE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6DF9491C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B06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575A5BB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AF2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816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4834C9" w:rsidRPr="002A45F3" w14:paraId="6F74FB97" w14:textId="77777777" w:rsidTr="00E069A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99952" w14:textId="11DF03B1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18054 DECENTRALIZIRANE FUNKCIJE</w:t>
            </w:r>
            <w:r w:rsid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-MINIMALNI FINANCIJSKI STANDARD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A812" w14:textId="08890B34" w:rsidR="004834C9" w:rsidRPr="002A45F3" w:rsidRDefault="00F43D11" w:rsidP="00D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1.139.600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86BF" w14:textId="20495FB4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206F9F"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  <w:r w:rsidR="00034637">
              <w:rPr>
                <w:rFonts w:ascii="Arial" w:eastAsia="Times New Roman" w:hAnsi="Arial" w:cs="Arial"/>
                <w:color w:val="000000"/>
                <w:lang w:eastAsia="hr-HR"/>
              </w:rPr>
              <w:t>261.8</w:t>
            </w:r>
            <w:r w:rsidR="00206F9F">
              <w:rPr>
                <w:rFonts w:ascii="Arial" w:eastAsia="Times New Roman" w:hAnsi="Arial" w:cs="Arial"/>
                <w:color w:val="000000"/>
                <w:lang w:eastAsia="hr-HR"/>
              </w:rPr>
              <w:t>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F672" w14:textId="1DE810AD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F43D11">
              <w:rPr>
                <w:rFonts w:ascii="Arial" w:eastAsia="Times New Roman" w:hAnsi="Arial" w:cs="Arial"/>
                <w:color w:val="000000"/>
                <w:lang w:eastAsia="hr-HR"/>
              </w:rPr>
              <w:t>1.332.800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761F0" w14:textId="1B963120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F43D11">
              <w:rPr>
                <w:rFonts w:ascii="Arial" w:eastAsia="Times New Roman" w:hAnsi="Arial" w:cs="Arial"/>
                <w:color w:val="000000"/>
                <w:lang w:eastAsia="hr-HR"/>
              </w:rPr>
              <w:t>1.332.800</w:t>
            </w:r>
          </w:p>
        </w:tc>
      </w:tr>
    </w:tbl>
    <w:p w14:paraId="75E4D407" w14:textId="77777777" w:rsidR="004834C9" w:rsidRPr="002A45F3" w:rsidRDefault="004834C9" w:rsidP="004834C9">
      <w:pPr>
        <w:rPr>
          <w:rFonts w:ascii="Arial" w:hAnsi="Arial" w:cs="Arial"/>
        </w:rPr>
      </w:pPr>
      <w:bookmarkStart w:id="3" w:name="_Hlk208837466"/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2ECB3465" w14:textId="77777777" w:rsidTr="00E069A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D7E83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bookmarkStart w:id="4" w:name="_Hlk207887810"/>
            <w:bookmarkEnd w:id="3"/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PROGRAM:</w:t>
            </w:r>
            <w:r w:rsidRPr="002A45F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18054 DECENTRALIZIRANE FUNKCIJE - MINIMALNI FINANCIJSKI STANDARD</w:t>
            </w:r>
          </w:p>
        </w:tc>
      </w:tr>
      <w:tr w:rsidR="004834C9" w:rsidRPr="002A45F3" w14:paraId="630EEF77" w14:textId="77777777" w:rsidTr="00E069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2944" w14:textId="4D898AE7" w:rsidR="004834C9" w:rsidRPr="002A45F3" w:rsidRDefault="004834C9" w:rsidP="00681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68173B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 w:rsidR="00951B51" w:rsidRPr="0068173B">
              <w:rPr>
                <w:sz w:val="24"/>
                <w:szCs w:val="24"/>
              </w:rPr>
              <w:t xml:space="preserve"> minimalni financijski standard u osnovnom </w:t>
            </w:r>
            <w:r w:rsidR="0068173B" w:rsidRPr="0068173B">
              <w:rPr>
                <w:sz w:val="24"/>
                <w:szCs w:val="24"/>
              </w:rPr>
              <w:t>školstvu</w:t>
            </w:r>
            <w:r w:rsidR="00951B51" w:rsidRPr="0068173B">
              <w:rPr>
                <w:sz w:val="24"/>
                <w:szCs w:val="24"/>
              </w:rPr>
              <w:t xml:space="preserve"> nu</w:t>
            </w:r>
            <w:r w:rsidR="0068173B" w:rsidRPr="0068173B">
              <w:rPr>
                <w:sz w:val="24"/>
                <w:szCs w:val="24"/>
              </w:rPr>
              <w:t>ž</w:t>
            </w:r>
            <w:r w:rsidR="00951B51" w:rsidRPr="0068173B">
              <w:rPr>
                <w:sz w:val="24"/>
                <w:szCs w:val="24"/>
              </w:rPr>
              <w:t>an je za r</w:t>
            </w:r>
            <w:r w:rsidR="0068173B" w:rsidRPr="0068173B">
              <w:rPr>
                <w:sz w:val="24"/>
                <w:szCs w:val="24"/>
              </w:rPr>
              <w:t>ea</w:t>
            </w:r>
            <w:r w:rsidR="00951B51" w:rsidRPr="0068173B">
              <w:rPr>
                <w:sz w:val="24"/>
                <w:szCs w:val="24"/>
              </w:rPr>
              <w:t>lizacij</w:t>
            </w:r>
            <w:r w:rsidR="0068173B" w:rsidRPr="0068173B">
              <w:rPr>
                <w:sz w:val="24"/>
                <w:szCs w:val="24"/>
              </w:rPr>
              <w:t xml:space="preserve">u </w:t>
            </w:r>
            <w:r w:rsidR="00951B51" w:rsidRPr="0068173B">
              <w:rPr>
                <w:sz w:val="24"/>
                <w:szCs w:val="24"/>
              </w:rPr>
              <w:t>nastavnog plana i programa; osiguravaju se sredstva za op</w:t>
            </w:r>
            <w:r w:rsidR="0068173B" w:rsidRPr="0068173B">
              <w:rPr>
                <w:sz w:val="24"/>
                <w:szCs w:val="24"/>
              </w:rPr>
              <w:t>će troškove škole a što uključuje  režije, održavanje zgrade i opreme, uredski i potrošni materijal te troškovi osoblja odnosno plaće i ostala materijalna prava zaposlenika  koje isplaćuje MZO.</w:t>
            </w:r>
          </w:p>
        </w:tc>
      </w:tr>
      <w:tr w:rsidR="004834C9" w:rsidRPr="002A45F3" w14:paraId="3A25F4CF" w14:textId="77777777" w:rsidTr="00E069A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5994C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31B024B0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Zakon o odgoju i obrazovanju u osnovnoj i srednjoj školi (NN br. 87/08, 86/09, 92/10, 105/10, 90/11, 5/12,  16/12, 86/12, 126/12, 94/13,  152/14, 07/17, 68/18, 98/19, 64/20, 151/22, 155/23, 156/23). </w:t>
            </w:r>
          </w:p>
          <w:p w14:paraId="4D7C43E3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Državni pedagoški standard osnovnoškolskog odgoja i obrazovanja ( NN br. 63/08 i 90/10.). </w:t>
            </w:r>
          </w:p>
          <w:p w14:paraId="33452E09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Zakon o ustanovama ( NN br. 76/93., 29/97., 47/99., 35/08., 127/19, 151/22) . </w:t>
            </w:r>
          </w:p>
          <w:p w14:paraId="0003EF8E" w14:textId="1E36A7BE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Statut osnovne škole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Marina Getaldića</w:t>
            </w: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, Dubrovnik. </w:t>
            </w:r>
          </w:p>
          <w:p w14:paraId="3209DDB9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Zakon o proračunu ( NN 144/21 ). </w:t>
            </w:r>
          </w:p>
          <w:p w14:paraId="3F8BD275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Pravilnik o proračunskim klasifikacijama ( NN 4/2024).                                                                                                            </w:t>
            </w:r>
          </w:p>
          <w:p w14:paraId="7215A868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Pravilnik o proračunskom računovodstvu i računskom planu ( NN br. 124/14., 115/15., 87/16. i 3/18., 108/20, 158/2023),  </w:t>
            </w:r>
          </w:p>
          <w:p w14:paraId="43EA9478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Upute za izradu  proračuna Grada Dubrovnika i Financijskih planova proračunskih korisnika Grada Dubrovnika za razdoblje 2026. - 2028.    </w:t>
            </w:r>
          </w:p>
          <w:p w14:paraId="194E8EA5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Zakon o radu (NN 93/14, 127/17, 98/19, 151/22, 46/23, 64/23). </w:t>
            </w:r>
          </w:p>
          <w:p w14:paraId="75C31B9E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Zakon o plaćama u javnim službama ( NN 155/2023 ). </w:t>
            </w:r>
          </w:p>
          <w:p w14:paraId="590767C5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Uredba o nazivima radnih mjesta, uvjetima za raspored i koeficijentima za obračun plaće u javnim službama (NN 22/24). </w:t>
            </w:r>
          </w:p>
          <w:p w14:paraId="0C24D5A6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Temeljni kolektivni ugovor za službenike i namještenike u javnim službama (NN br. 128/17.,47/18. i 56/22).                                                      Kolektivni ugovor za zaposlenike u osnovnoškolskim ustanovama ( NN br. 51/18). </w:t>
            </w:r>
          </w:p>
          <w:p w14:paraId="7C24F60D" w14:textId="77777777" w:rsidR="0068173B" w:rsidRPr="0068173B" w:rsidRDefault="0068173B" w:rsidP="0068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• Zakon o javnoj nabavi (NN 114/22)  </w:t>
            </w:r>
          </w:p>
          <w:p w14:paraId="60E1311C" w14:textId="31004C21" w:rsidR="004834C9" w:rsidRPr="002A45F3" w:rsidRDefault="0068173B" w:rsidP="00681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817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• Obavijest o odobrenim sredstvima (limiti) u proračunu Grada Dubrovnika</w:t>
            </w:r>
          </w:p>
        </w:tc>
      </w:tr>
      <w:tr w:rsidR="004834C9" w:rsidRPr="002A45F3" w14:paraId="5882CD0B" w14:textId="77777777" w:rsidTr="00E069AB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2D89C8" w14:textId="0CA59305" w:rsidR="004834C9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provedbe programa u razdoblju 2026.-2028.</w:t>
            </w:r>
          </w:p>
          <w:p w14:paraId="4705D439" w14:textId="77777777" w:rsidR="00ED0B3E" w:rsidRPr="002A45F3" w:rsidRDefault="00ED0B3E" w:rsidP="00D5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14:paraId="0F5BC16C" w14:textId="56751F20" w:rsidR="004834C9" w:rsidRPr="00ED0B3E" w:rsidRDefault="00ED0B3E" w:rsidP="00681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E">
              <w:rPr>
                <w:rFonts w:ascii="Times New Roman" w:hAnsi="Times New Roman" w:cs="Times New Roman"/>
                <w:sz w:val="24"/>
                <w:szCs w:val="24"/>
              </w:rPr>
              <w:t>Cilj provedbe programa minimalnog financijskog standarda (MFS) za školu je osigurati osnovne uvjete za redovito i kvalitetno funkcioniranje škole.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financijskom planu škole za 2026.-2028. godinu planirana su sredstva za pokriće navedenog.</w:t>
            </w:r>
          </w:p>
          <w:p w14:paraId="4E9A30CA" w14:textId="77777777" w:rsidR="00ED0B3E" w:rsidRDefault="00ED0B3E" w:rsidP="00ED0B3E">
            <w:pPr>
              <w:pStyle w:val="StandardWeb"/>
            </w:pPr>
            <w:proofErr w:type="spellStart"/>
            <w:r>
              <w:t>Minimalni</w:t>
            </w:r>
            <w:proofErr w:type="spellEnd"/>
            <w:r>
              <w:t xml:space="preserve"> </w:t>
            </w:r>
            <w:proofErr w:type="spellStart"/>
            <w:r>
              <w:t>financijski</w:t>
            </w:r>
            <w:proofErr w:type="spellEnd"/>
            <w:r>
              <w:t xml:space="preserve"> standard </w:t>
            </w:r>
            <w:proofErr w:type="spellStart"/>
            <w:r>
              <w:t>podrazumijeva</w:t>
            </w:r>
            <w:proofErr w:type="spellEnd"/>
            <w:r>
              <w:t xml:space="preserve"> </w:t>
            </w:r>
            <w:proofErr w:type="spellStart"/>
            <w:r w:rsidRPr="00ED0B3E">
              <w:rPr>
                <w:rStyle w:val="Naglaeno"/>
                <w:b w:val="0"/>
              </w:rPr>
              <w:t>najnižu</w:t>
            </w:r>
            <w:proofErr w:type="spellEnd"/>
            <w:r w:rsidRPr="00ED0B3E">
              <w:rPr>
                <w:rStyle w:val="Naglaeno"/>
                <w:b w:val="0"/>
              </w:rPr>
              <w:t xml:space="preserve"> </w:t>
            </w:r>
            <w:proofErr w:type="spellStart"/>
            <w:r w:rsidRPr="00ED0B3E">
              <w:rPr>
                <w:rStyle w:val="Naglaeno"/>
                <w:b w:val="0"/>
              </w:rPr>
              <w:t>razinu</w:t>
            </w:r>
            <w:proofErr w:type="spellEnd"/>
            <w:r w:rsidRPr="00ED0B3E">
              <w:rPr>
                <w:rStyle w:val="Naglaeno"/>
                <w:b w:val="0"/>
              </w:rPr>
              <w:t xml:space="preserve"> </w:t>
            </w:r>
            <w:proofErr w:type="spellStart"/>
            <w:r w:rsidRPr="00ED0B3E">
              <w:rPr>
                <w:rStyle w:val="Naglaeno"/>
                <w:b w:val="0"/>
              </w:rPr>
              <w:t>sredstava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nužna</w:t>
            </w:r>
            <w:proofErr w:type="spellEnd"/>
            <w:r>
              <w:t xml:space="preserve"> za:</w:t>
            </w:r>
          </w:p>
          <w:p w14:paraId="0C4EA5DB" w14:textId="77777777" w:rsidR="00ED0B3E" w:rsidRDefault="00ED0B3E" w:rsidP="00ED0B3E">
            <w:pPr>
              <w:pStyle w:val="StandardWeb"/>
              <w:numPr>
                <w:ilvl w:val="0"/>
                <w:numId w:val="11"/>
              </w:numPr>
            </w:pPr>
            <w:proofErr w:type="spellStart"/>
            <w:r>
              <w:rPr>
                <w:rStyle w:val="Naglaeno"/>
              </w:rPr>
              <w:t>Pokriće</w:t>
            </w:r>
            <w:proofErr w:type="spellEnd"/>
            <w:r>
              <w:rPr>
                <w:rStyle w:val="Naglaeno"/>
              </w:rPr>
              <w:t xml:space="preserve"> </w:t>
            </w:r>
            <w:proofErr w:type="spellStart"/>
            <w:r>
              <w:rPr>
                <w:rStyle w:val="Naglaeno"/>
              </w:rPr>
              <w:t>općih</w:t>
            </w:r>
            <w:proofErr w:type="spellEnd"/>
            <w:r>
              <w:rPr>
                <w:rStyle w:val="Naglaeno"/>
              </w:rPr>
              <w:t xml:space="preserve"> </w:t>
            </w:r>
            <w:proofErr w:type="spellStart"/>
            <w:r>
              <w:rPr>
                <w:rStyle w:val="Naglaeno"/>
              </w:rPr>
              <w:t>troškova</w:t>
            </w:r>
            <w:proofErr w:type="spellEnd"/>
            <w:r>
              <w:rPr>
                <w:rStyle w:val="Naglaeno"/>
              </w:rPr>
              <w:t xml:space="preserve"> </w:t>
            </w:r>
            <w:proofErr w:type="spellStart"/>
            <w:r>
              <w:rPr>
                <w:rStyle w:val="Naglaeno"/>
              </w:rPr>
              <w:t>poslovanja</w:t>
            </w:r>
            <w:proofErr w:type="spellEnd"/>
            <w:r>
              <w:rPr>
                <w:rStyle w:val="Naglaeno"/>
              </w:rPr>
              <w:t xml:space="preserve"> škole</w:t>
            </w:r>
            <w:r>
              <w:t xml:space="preserve"> – to </w:t>
            </w:r>
            <w:proofErr w:type="spellStart"/>
            <w:r>
              <w:t>uključuje</w:t>
            </w:r>
            <w:proofErr w:type="spellEnd"/>
            <w:r>
              <w:t>:</w:t>
            </w:r>
          </w:p>
          <w:p w14:paraId="403D7F53" w14:textId="77777777" w:rsidR="00ED0B3E" w:rsidRDefault="00ED0B3E" w:rsidP="00ED0B3E">
            <w:pPr>
              <w:pStyle w:val="StandardWeb"/>
              <w:numPr>
                <w:ilvl w:val="1"/>
                <w:numId w:val="11"/>
              </w:numPr>
            </w:pPr>
            <w:proofErr w:type="spellStart"/>
            <w:r>
              <w:t>troškove</w:t>
            </w:r>
            <w:proofErr w:type="spellEnd"/>
            <w:r>
              <w:t xml:space="preserve"> </w:t>
            </w:r>
            <w:proofErr w:type="spellStart"/>
            <w:r>
              <w:t>grijanja</w:t>
            </w:r>
            <w:proofErr w:type="spellEnd"/>
            <w:r>
              <w:t xml:space="preserve">, </w:t>
            </w:r>
            <w:proofErr w:type="spellStart"/>
            <w:r>
              <w:t>struje</w:t>
            </w:r>
            <w:proofErr w:type="spellEnd"/>
            <w:r>
              <w:t xml:space="preserve">, </w:t>
            </w:r>
            <w:proofErr w:type="spellStart"/>
            <w:r>
              <w:t>vode</w:t>
            </w:r>
            <w:proofErr w:type="spellEnd"/>
            <w:r>
              <w:t xml:space="preserve">, </w:t>
            </w:r>
            <w:proofErr w:type="spellStart"/>
            <w:r>
              <w:t>odvoza</w:t>
            </w:r>
            <w:proofErr w:type="spellEnd"/>
            <w:r>
              <w:t xml:space="preserve"> </w:t>
            </w:r>
            <w:proofErr w:type="spellStart"/>
            <w:r>
              <w:t>otpada</w:t>
            </w:r>
            <w:proofErr w:type="spellEnd"/>
            <w:r>
              <w:t>,</w:t>
            </w:r>
          </w:p>
          <w:p w14:paraId="124A78E8" w14:textId="77777777" w:rsidR="00ED0B3E" w:rsidRDefault="00ED0B3E" w:rsidP="00ED0B3E">
            <w:pPr>
              <w:pStyle w:val="StandardWeb"/>
              <w:numPr>
                <w:ilvl w:val="1"/>
                <w:numId w:val="11"/>
              </w:numPr>
            </w:pPr>
            <w:proofErr w:type="spellStart"/>
            <w:r>
              <w:t>održavanje</w:t>
            </w:r>
            <w:proofErr w:type="spellEnd"/>
            <w:r>
              <w:t xml:space="preserve"> </w:t>
            </w:r>
            <w:proofErr w:type="spellStart"/>
            <w:r>
              <w:t>školskih</w:t>
            </w:r>
            <w:proofErr w:type="spellEnd"/>
            <w:r>
              <w:t xml:space="preserve"> </w:t>
            </w:r>
            <w:proofErr w:type="spellStart"/>
            <w:r>
              <w:t>objekata</w:t>
            </w:r>
            <w:proofErr w:type="spellEnd"/>
            <w:r>
              <w:t xml:space="preserve"> i </w:t>
            </w:r>
            <w:proofErr w:type="spellStart"/>
            <w:r>
              <w:t>opreme</w:t>
            </w:r>
            <w:proofErr w:type="spellEnd"/>
            <w:r>
              <w:t>,</w:t>
            </w:r>
          </w:p>
          <w:p w14:paraId="4E0D2962" w14:textId="77777777" w:rsidR="00ED0B3E" w:rsidRDefault="00ED0B3E" w:rsidP="00ED0B3E">
            <w:pPr>
              <w:pStyle w:val="StandardWeb"/>
              <w:numPr>
                <w:ilvl w:val="1"/>
                <w:numId w:val="11"/>
              </w:numPr>
            </w:pPr>
            <w:proofErr w:type="spellStart"/>
            <w:r>
              <w:t>nabavu</w:t>
            </w:r>
            <w:proofErr w:type="spellEnd"/>
            <w:r>
              <w:t xml:space="preserve"> </w:t>
            </w:r>
            <w:proofErr w:type="spellStart"/>
            <w:r>
              <w:t>osnovnog</w:t>
            </w:r>
            <w:proofErr w:type="spellEnd"/>
            <w:r>
              <w:t xml:space="preserve"> </w:t>
            </w:r>
            <w:proofErr w:type="spellStart"/>
            <w:r>
              <w:t>didaktičkog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  <w:r>
              <w:t>,</w:t>
            </w:r>
          </w:p>
          <w:p w14:paraId="69F96AEB" w14:textId="77777777" w:rsidR="00ED0B3E" w:rsidRDefault="00ED0B3E" w:rsidP="00ED0B3E">
            <w:pPr>
              <w:pStyle w:val="StandardWeb"/>
              <w:numPr>
                <w:ilvl w:val="1"/>
                <w:numId w:val="11"/>
              </w:numPr>
            </w:pPr>
            <w:r>
              <w:t xml:space="preserve">IT </w:t>
            </w:r>
            <w:proofErr w:type="spellStart"/>
            <w:r>
              <w:t>podršku</w:t>
            </w:r>
            <w:proofErr w:type="spellEnd"/>
            <w:r>
              <w:t xml:space="preserve"> i sl.</w:t>
            </w:r>
          </w:p>
          <w:p w14:paraId="20879CCE" w14:textId="77777777" w:rsidR="00ED0B3E" w:rsidRDefault="00ED0B3E" w:rsidP="00ED0B3E">
            <w:pPr>
              <w:pStyle w:val="StandardWeb"/>
              <w:numPr>
                <w:ilvl w:val="0"/>
                <w:numId w:val="11"/>
              </w:numPr>
            </w:pPr>
            <w:proofErr w:type="spellStart"/>
            <w:r>
              <w:rPr>
                <w:rStyle w:val="Naglaeno"/>
              </w:rPr>
              <w:lastRenderedPageBreak/>
              <w:t>Plaće</w:t>
            </w:r>
            <w:proofErr w:type="spellEnd"/>
            <w:r>
              <w:rPr>
                <w:rStyle w:val="Naglaeno"/>
              </w:rPr>
              <w:t xml:space="preserve"> </w:t>
            </w:r>
            <w:proofErr w:type="spellStart"/>
            <w:r>
              <w:rPr>
                <w:rStyle w:val="Naglaeno"/>
              </w:rPr>
              <w:t>djelatnika</w:t>
            </w:r>
            <w:proofErr w:type="spellEnd"/>
            <w:r>
              <w:rPr>
                <w:rStyle w:val="Naglaeno"/>
              </w:rPr>
              <w:t xml:space="preserve"> škole</w:t>
            </w:r>
            <w:r>
              <w:t xml:space="preserve"> – </w:t>
            </w:r>
            <w:proofErr w:type="spellStart"/>
            <w:r>
              <w:t>Ministarstvo</w:t>
            </w:r>
            <w:proofErr w:type="spellEnd"/>
            <w:r>
              <w:t xml:space="preserve"> </w:t>
            </w:r>
            <w:proofErr w:type="spellStart"/>
            <w:r>
              <w:t>znanosti</w:t>
            </w:r>
            <w:proofErr w:type="spellEnd"/>
            <w:r>
              <w:t xml:space="preserve"> i </w:t>
            </w:r>
            <w:proofErr w:type="spellStart"/>
            <w:r>
              <w:t>obrazovanja</w:t>
            </w:r>
            <w:proofErr w:type="spellEnd"/>
            <w:r>
              <w:t xml:space="preserve"> (MZO) </w:t>
            </w:r>
            <w:proofErr w:type="spellStart"/>
            <w:r>
              <w:t>isplaćuje</w:t>
            </w:r>
            <w:proofErr w:type="spellEnd"/>
            <w:r>
              <w:t>:</w:t>
            </w:r>
          </w:p>
          <w:p w14:paraId="0D973FBD" w14:textId="77777777" w:rsidR="00ED0B3E" w:rsidRDefault="00ED0B3E" w:rsidP="00ED0B3E">
            <w:pPr>
              <w:pStyle w:val="StandardWeb"/>
              <w:numPr>
                <w:ilvl w:val="1"/>
                <w:numId w:val="11"/>
              </w:numPr>
            </w:pPr>
            <w:proofErr w:type="spellStart"/>
            <w:r>
              <w:t>plaće</w:t>
            </w:r>
            <w:proofErr w:type="spellEnd"/>
            <w:r>
              <w:t xml:space="preserve"> </w:t>
            </w:r>
            <w:proofErr w:type="spellStart"/>
            <w:r>
              <w:t>nastavnog</w:t>
            </w:r>
            <w:proofErr w:type="spellEnd"/>
            <w:r>
              <w:t xml:space="preserve"> i </w:t>
            </w:r>
            <w:proofErr w:type="spellStart"/>
            <w:r>
              <w:t>nenastavnog</w:t>
            </w:r>
            <w:proofErr w:type="spellEnd"/>
            <w:r>
              <w:t xml:space="preserve"> </w:t>
            </w:r>
            <w:proofErr w:type="spellStart"/>
            <w:r>
              <w:t>osoblja</w:t>
            </w:r>
            <w:proofErr w:type="spellEnd"/>
            <w:r>
              <w:t xml:space="preserve"> (tajnika, računovođa, </w:t>
            </w:r>
            <w:proofErr w:type="spellStart"/>
            <w:r>
              <w:t>domara</w:t>
            </w:r>
            <w:proofErr w:type="spellEnd"/>
            <w:r>
              <w:t xml:space="preserve">, </w:t>
            </w:r>
            <w:proofErr w:type="spellStart"/>
            <w:r>
              <w:t>spremačica</w:t>
            </w:r>
            <w:proofErr w:type="spellEnd"/>
            <w:r>
              <w:t xml:space="preserve"> </w:t>
            </w:r>
            <w:proofErr w:type="spellStart"/>
            <w:r>
              <w:t>itd</w:t>
            </w:r>
            <w:proofErr w:type="spellEnd"/>
            <w:r>
              <w:t>.),</w:t>
            </w:r>
          </w:p>
          <w:p w14:paraId="7E74F246" w14:textId="77777777" w:rsidR="00ED0B3E" w:rsidRDefault="00ED0B3E" w:rsidP="00ED0B3E">
            <w:pPr>
              <w:pStyle w:val="StandardWeb"/>
              <w:numPr>
                <w:ilvl w:val="1"/>
                <w:numId w:val="11"/>
              </w:numPr>
            </w:pPr>
            <w:proofErr w:type="spellStart"/>
            <w:r>
              <w:t>materijalna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kolektivnih</w:t>
            </w:r>
            <w:proofErr w:type="spellEnd"/>
            <w:r>
              <w:t xml:space="preserve"> </w:t>
            </w:r>
            <w:proofErr w:type="spellStart"/>
            <w:r>
              <w:t>ugovora</w:t>
            </w:r>
            <w:proofErr w:type="spellEnd"/>
            <w:r>
              <w:t xml:space="preserve"> (</w:t>
            </w:r>
            <w:proofErr w:type="spellStart"/>
            <w:r>
              <w:t>npr</w:t>
            </w:r>
            <w:proofErr w:type="spellEnd"/>
            <w:r>
              <w:t xml:space="preserve">. </w:t>
            </w:r>
            <w:proofErr w:type="spellStart"/>
            <w:r>
              <w:t>božićnice</w:t>
            </w:r>
            <w:proofErr w:type="spellEnd"/>
            <w:r>
              <w:t xml:space="preserve">, </w:t>
            </w:r>
            <w:proofErr w:type="spellStart"/>
            <w:r>
              <w:t>regresi</w:t>
            </w:r>
            <w:proofErr w:type="spellEnd"/>
            <w:r>
              <w:t xml:space="preserve">, </w:t>
            </w:r>
            <w:proofErr w:type="spellStart"/>
            <w:r>
              <w:t>prijevoz</w:t>
            </w:r>
            <w:proofErr w:type="spellEnd"/>
            <w:r>
              <w:t>).</w:t>
            </w:r>
          </w:p>
          <w:p w14:paraId="53860BE2" w14:textId="32C6CAB8" w:rsidR="00ED0B3E" w:rsidRPr="00ED0B3E" w:rsidRDefault="00ED0B3E" w:rsidP="00ED0B3E">
            <w:pPr>
              <w:pStyle w:val="StandardWeb"/>
              <w:ind w:left="1440"/>
              <w:rPr>
                <w:rFonts w:ascii="Arial" w:hAnsi="Arial" w:cs="Arial"/>
                <w:i/>
                <w:color w:val="000000"/>
                <w:lang w:eastAsia="hr-HR"/>
              </w:rPr>
            </w:pPr>
          </w:p>
        </w:tc>
      </w:tr>
    </w:tbl>
    <w:p w14:paraId="2D010713" w14:textId="6638041C" w:rsidR="004834C9" w:rsidRDefault="004834C9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5565479F" w14:textId="77777777" w:rsidR="00ED0B3E" w:rsidRPr="002A45F3" w:rsidRDefault="00ED0B3E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05DA2552" w14:textId="1CD663ED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1B7922D8" w14:textId="77777777" w:rsidR="004834C9" w:rsidRPr="002A45F3" w:rsidRDefault="004834C9" w:rsidP="004834C9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Procjena i ishodište potrebnih sredstava za aktivnosti/projekte unutar programa</w:t>
      </w:r>
    </w:p>
    <w:p w14:paraId="113A8220" w14:textId="77777777" w:rsidR="004834C9" w:rsidRPr="002A45F3" w:rsidRDefault="004834C9" w:rsidP="004834C9">
      <w:pPr>
        <w:spacing w:after="0"/>
        <w:rPr>
          <w:rFonts w:ascii="Arial" w:hAnsi="Arial" w:cs="Arial"/>
        </w:rPr>
      </w:pPr>
      <w:r w:rsidRPr="002A45F3">
        <w:rPr>
          <w:rFonts w:ascii="Arial" w:hAnsi="Arial" w:cs="Arial"/>
        </w:rPr>
        <w:t>Potrebno je dati pregled financijskih sredstava po aktivnostima/projektima unutar svakog programa:</w:t>
      </w:r>
    </w:p>
    <w:p w14:paraId="0C9ECE4F" w14:textId="77777777" w:rsidR="004834C9" w:rsidRPr="002A45F3" w:rsidRDefault="004834C9" w:rsidP="004834C9">
      <w:pPr>
        <w:spacing w:after="0"/>
        <w:rPr>
          <w:rFonts w:ascii="Arial" w:hAnsi="Arial" w:cs="Arial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588"/>
        <w:gridCol w:w="1559"/>
        <w:gridCol w:w="1559"/>
        <w:gridCol w:w="1418"/>
      </w:tblGrid>
      <w:tr w:rsidR="004834C9" w:rsidRPr="002A45F3" w14:paraId="3F67FDEE" w14:textId="77777777" w:rsidTr="00C613BF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35D678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aktivnosti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592358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03ADD27F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E70F86D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0EF7407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E711163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B4DBFC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4834C9" w:rsidRPr="002A45F3" w14:paraId="61AFE672" w14:textId="77777777" w:rsidTr="00C613BF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38573D2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A805401 MATERIJALNI I FINANCIJSKI RASHODI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90966" w14:textId="1EC56CE2" w:rsidR="004834C9" w:rsidRPr="002A45F3" w:rsidRDefault="00F43D11" w:rsidP="00D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68.000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33D2" w14:textId="023A85BD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F43D11">
              <w:rPr>
                <w:rFonts w:ascii="Arial" w:eastAsia="Times New Roman" w:hAnsi="Arial" w:cs="Arial"/>
                <w:color w:val="000000"/>
                <w:lang w:eastAsia="hr-HR"/>
              </w:rPr>
              <w:t>7</w:t>
            </w:r>
            <w:r w:rsidR="00034637">
              <w:rPr>
                <w:rFonts w:ascii="Arial" w:eastAsia="Times New Roman" w:hAnsi="Arial" w:cs="Arial"/>
                <w:color w:val="000000"/>
                <w:lang w:eastAsia="hr-HR"/>
              </w:rPr>
              <w:t>3.000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C7BF" w14:textId="6231AB5C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F43D11">
              <w:rPr>
                <w:rFonts w:ascii="Arial" w:eastAsia="Times New Roman" w:hAnsi="Arial" w:cs="Arial"/>
                <w:color w:val="000000"/>
                <w:lang w:eastAsia="hr-HR"/>
              </w:rPr>
              <w:t>7</w:t>
            </w:r>
            <w:r w:rsidR="00034637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F43D11">
              <w:rPr>
                <w:rFonts w:ascii="Arial" w:eastAsia="Times New Roman" w:hAnsi="Arial" w:cs="Arial"/>
                <w:color w:val="000000"/>
                <w:lang w:eastAsia="hr-HR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5CDAC" w14:textId="5ED916C2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F43D11">
              <w:rPr>
                <w:rFonts w:ascii="Arial" w:eastAsia="Times New Roman" w:hAnsi="Arial" w:cs="Arial"/>
                <w:color w:val="000000"/>
                <w:lang w:eastAsia="hr-HR"/>
              </w:rPr>
              <w:t>71.000</w:t>
            </w:r>
          </w:p>
        </w:tc>
      </w:tr>
      <w:tr w:rsidR="004834C9" w:rsidRPr="002A45F3" w14:paraId="28CA626E" w14:textId="77777777" w:rsidTr="00C613BF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131F376E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T805404 REDOVNA DJELATNOST OSNOVNOG OBRAZOVANJA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38E6" w14:textId="1DAC22F3" w:rsidR="004834C9" w:rsidRPr="002A45F3" w:rsidRDefault="00F43D11" w:rsidP="00D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1.071.600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9A366" w14:textId="205618CF" w:rsidR="004834C9" w:rsidRPr="002A45F3" w:rsidRDefault="00F43D11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1.261.800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E63B5" w14:textId="463753D6" w:rsidR="004834C9" w:rsidRPr="002A45F3" w:rsidRDefault="00F43D11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1.261.800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406ED" w14:textId="0BDDF933" w:rsidR="004834C9" w:rsidRPr="002A45F3" w:rsidRDefault="00F43D11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1.261.800</w:t>
            </w:r>
          </w:p>
        </w:tc>
      </w:tr>
      <w:tr w:rsidR="004834C9" w:rsidRPr="002A45F3" w14:paraId="55622D51" w14:textId="77777777" w:rsidTr="00C613BF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772ECF81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Ukupno program: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74E2" w14:textId="523710FD" w:rsidR="004834C9" w:rsidRPr="002A45F3" w:rsidRDefault="00F43D11" w:rsidP="00D51E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1.139.600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FE707" w14:textId="41A750D7" w:rsidR="004834C9" w:rsidRPr="002A45F3" w:rsidRDefault="00F43D11" w:rsidP="00D5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1.33</w:t>
            </w:r>
            <w:r w:rsidR="0003463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.800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EB16" w14:textId="5F0A228A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 </w:t>
            </w:r>
            <w:r w:rsidR="00F43D1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1.332.800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D61EB" w14:textId="37DF2703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 </w:t>
            </w:r>
            <w:r w:rsidR="00F43D1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1.332.800</w:t>
            </w:r>
          </w:p>
        </w:tc>
      </w:tr>
    </w:tbl>
    <w:p w14:paraId="32715810" w14:textId="77777777" w:rsidR="004834C9" w:rsidRPr="002A45F3" w:rsidRDefault="004834C9" w:rsidP="004834C9">
      <w:pPr>
        <w:spacing w:after="0"/>
        <w:rPr>
          <w:rFonts w:ascii="Arial" w:hAnsi="Arial" w:cs="Arial"/>
          <w:b/>
        </w:rPr>
      </w:pPr>
    </w:p>
    <w:p w14:paraId="414C3D45" w14:textId="77777777" w:rsidR="004834C9" w:rsidRPr="002A45F3" w:rsidRDefault="004834C9" w:rsidP="004834C9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</w:rPr>
      </w:pPr>
      <w:r w:rsidRPr="002A45F3">
        <w:rPr>
          <w:rFonts w:ascii="Arial" w:hAnsi="Arial" w:cs="Arial"/>
        </w:rPr>
        <w:t>U nastavku se za svaku aktivnost/projekt daje obrazloženje i definiraju pokazatelji rezultata:</w:t>
      </w:r>
    </w:p>
    <w:p w14:paraId="24D769A4" w14:textId="77777777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52254912" w14:textId="77777777" w:rsidTr="00E069AB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8FCB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bookmarkStart w:id="5" w:name="_Hlk208302278"/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 MATERIJALNI I FINANCIJSKI RASHODI </w:t>
            </w:r>
          </w:p>
        </w:tc>
      </w:tr>
      <w:tr w:rsidR="004834C9" w:rsidRPr="002A45F3" w14:paraId="3A449877" w14:textId="77777777" w:rsidTr="00E069AB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07C9" w14:textId="108026FB" w:rsidR="004834C9" w:rsidRPr="002A45F3" w:rsidRDefault="00ED0B3E" w:rsidP="00ED0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t xml:space="preserve">Aktivnost pod nazivom </w:t>
            </w:r>
            <w:r>
              <w:rPr>
                <w:rStyle w:val="Naglaeno"/>
              </w:rPr>
              <w:t>"Materijalni i financijski rashodi"</w:t>
            </w:r>
            <w:r>
              <w:t xml:space="preserve"> u proračunu škole odnosi se na skup svih troškova koji su nužni za svakodnevno funkcioniranje škole. Ovi rashodi obuhvaćaju režijske troškove poput struje, vode, grijanja, interneta i odvoza otpada, zatim održavanje školske zgrade i opreme (popravci, servisiranje uređaja, redovno održavanje), nabavu potrošnog materijala (školski pribor, papir, toner, sredstva za čišćenje i higijenu), kao i plaćanje usluga koje škola koristi (npr. osiguranje, čišćenje, informatička podrška). Također, uključuju i putne troškove djelatnika ako su vezani uz školsku djelatnost. Cilj ove aktivnosti je osigurati osnovne tehničke, materijalne i higijenske uvjete za odvijanje nastave i općenito funkcioniranje škole, uz praćenje i kontrolu trošenja javnih sredstava u skladu s važećim propisima.</w:t>
            </w:r>
          </w:p>
        </w:tc>
      </w:tr>
      <w:tr w:rsidR="004834C9" w:rsidRPr="002A45F3" w14:paraId="4DC70048" w14:textId="77777777" w:rsidTr="00E069AB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DD2D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6662AA96" w14:textId="77777777" w:rsidR="004834C9" w:rsidRPr="002A45F3" w:rsidRDefault="004834C9" w:rsidP="004834C9">
      <w:pPr>
        <w:rPr>
          <w:rFonts w:ascii="Arial" w:hAnsi="Arial" w:cs="Arial"/>
        </w:rPr>
      </w:pPr>
    </w:p>
    <w:p w14:paraId="723733ED" w14:textId="77777777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10921" w:type="dxa"/>
        <w:jc w:val="center"/>
        <w:tblLook w:val="04A0" w:firstRow="1" w:lastRow="0" w:firstColumn="1" w:lastColumn="0" w:noHBand="0" w:noVBand="1"/>
      </w:tblPr>
      <w:tblGrid>
        <w:gridCol w:w="2577"/>
        <w:gridCol w:w="1483"/>
        <w:gridCol w:w="1335"/>
        <w:gridCol w:w="1533"/>
        <w:gridCol w:w="1331"/>
        <w:gridCol w:w="1331"/>
        <w:gridCol w:w="1331"/>
      </w:tblGrid>
      <w:tr w:rsidR="004834C9" w:rsidRPr="002A45F3" w14:paraId="1A6E9BFA" w14:textId="77777777" w:rsidTr="00C613BF">
        <w:trPr>
          <w:trHeight w:val="572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ACFF97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bookmarkStart w:id="6" w:name="_Hlk209099823"/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27A23980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584B33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DC75BD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9D99F2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B279AED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196F50E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7FDA2D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69E1E0E3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7D5DED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989116E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55C9173D" w14:textId="77777777" w:rsidTr="00F43D11">
        <w:trPr>
          <w:trHeight w:val="45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50A6" w14:textId="77777777" w:rsidR="00BD5511" w:rsidRPr="00BD5511" w:rsidRDefault="00BD5511" w:rsidP="00BD5511">
            <w:pPr>
              <w:spacing w:line="295" w:lineRule="auto"/>
              <w:rPr>
                <w:i/>
                <w:sz w:val="20"/>
                <w:szCs w:val="20"/>
              </w:rPr>
            </w:pPr>
            <w:r w:rsidRPr="00BD5511">
              <w:rPr>
                <w:i/>
                <w:sz w:val="20"/>
                <w:szCs w:val="20"/>
              </w:rPr>
              <w:t xml:space="preserve">Kontinuirano i redovito podmirivanje tekućih rashoda škole sukladno Odluci o kriterijima i mjerilima za osiguravanje minimalnog financijskog standarda javnih potreba u osnovnom školstvu na području Grada Dubrovnika. </w:t>
            </w:r>
          </w:p>
          <w:p w14:paraId="206298C5" w14:textId="66D2D4DB" w:rsidR="004834C9" w:rsidRPr="00BD5511" w:rsidRDefault="00BD5511" w:rsidP="00BD5511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</w:pPr>
            <w:r w:rsidRPr="00BD5511">
              <w:rPr>
                <w:i/>
                <w:sz w:val="20"/>
                <w:szCs w:val="20"/>
              </w:rPr>
              <w:t>Kontinuirano  tekuće održavanje opreme i školskih zgrada je na razini standarda javnih potreba u osnovnom školstvu.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73F8" w14:textId="035A4D2E" w:rsidR="004834C9" w:rsidRPr="00BD5511" w:rsidRDefault="00BD5511" w:rsidP="00D51E7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BD5511">
              <w:rPr>
                <w:rFonts w:eastAsia="Times New Roman" w:cstheme="minorHAnsi"/>
                <w:i/>
                <w:color w:val="000000"/>
                <w:lang w:eastAsia="hr-HR"/>
              </w:rPr>
              <w:t>Ispunjene zakonske i ugovorne obveze prema dobavljačima i pružateljima usluga kako bi škola osigurala  sigurno, uredno i funkcionalno okruženje za učenike i djelatnike.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F6021" w14:textId="77777777" w:rsidR="00660615" w:rsidRDefault="00660615" w:rsidP="00660615">
            <w:pPr>
              <w:spacing w:after="0" w:line="240" w:lineRule="auto"/>
              <w:jc w:val="center"/>
            </w:pPr>
          </w:p>
          <w:p w14:paraId="44CB68F5" w14:textId="77777777" w:rsidR="00660615" w:rsidRDefault="00660615" w:rsidP="00660615">
            <w:pPr>
              <w:spacing w:after="0" w:line="240" w:lineRule="auto"/>
              <w:jc w:val="center"/>
            </w:pPr>
          </w:p>
          <w:p w14:paraId="1F028888" w14:textId="77777777" w:rsidR="00660615" w:rsidRDefault="00660615" w:rsidP="00660615">
            <w:pPr>
              <w:spacing w:after="0" w:line="240" w:lineRule="auto"/>
              <w:jc w:val="center"/>
            </w:pPr>
          </w:p>
          <w:p w14:paraId="1058C737" w14:textId="77777777" w:rsidR="00660615" w:rsidRDefault="00660615" w:rsidP="00660615">
            <w:pPr>
              <w:spacing w:after="0" w:line="240" w:lineRule="auto"/>
              <w:jc w:val="center"/>
            </w:pPr>
          </w:p>
          <w:p w14:paraId="66980C41" w14:textId="77777777" w:rsidR="00660615" w:rsidRDefault="00660615" w:rsidP="00660615">
            <w:pPr>
              <w:spacing w:after="0" w:line="240" w:lineRule="auto"/>
              <w:jc w:val="center"/>
            </w:pPr>
          </w:p>
          <w:p w14:paraId="0F31185C" w14:textId="77777777" w:rsidR="00660615" w:rsidRDefault="00660615" w:rsidP="00660615">
            <w:pPr>
              <w:spacing w:after="0" w:line="240" w:lineRule="auto"/>
              <w:jc w:val="center"/>
            </w:pPr>
          </w:p>
          <w:p w14:paraId="5DEC9F9F" w14:textId="721AF4E0" w:rsidR="004834C9" w:rsidRPr="002A45F3" w:rsidRDefault="00660615" w:rsidP="0066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t>% izvršenosti godišnjeg financijskog plana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8F3F" w14:textId="62334A3C" w:rsidR="004834C9" w:rsidRPr="00F43D11" w:rsidRDefault="00F43D11" w:rsidP="00C613BF">
            <w:pPr>
              <w:jc w:val="center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F43D11">
              <w:rPr>
                <w:rFonts w:cstheme="minorHAnsi"/>
                <w:b/>
                <w:sz w:val="20"/>
                <w:szCs w:val="20"/>
                <w:lang w:eastAsia="hr-HR"/>
              </w:rPr>
              <w:t>68.000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4C2F" w14:textId="27AECDED" w:rsidR="004834C9" w:rsidRPr="00F43D11" w:rsidRDefault="00A41271" w:rsidP="00C613BF">
            <w:pPr>
              <w:jc w:val="center"/>
              <w:rPr>
                <w:rFonts w:cstheme="minorHAnsi"/>
                <w:b/>
                <w:sz w:val="20"/>
                <w:szCs w:val="20"/>
                <w:lang w:eastAsia="hr-HR"/>
              </w:rPr>
            </w:pPr>
            <w:r w:rsidRPr="00F43D11">
              <w:rPr>
                <w:rFonts w:cstheme="minorHAnsi"/>
                <w:b/>
                <w:sz w:val="20"/>
                <w:szCs w:val="20"/>
                <w:lang w:eastAsia="hr-HR"/>
              </w:rPr>
              <w:t>7</w:t>
            </w:r>
            <w:r w:rsidR="00034637">
              <w:rPr>
                <w:rFonts w:cstheme="minorHAnsi"/>
                <w:b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A149" w14:textId="4FA4089A" w:rsidR="004834C9" w:rsidRPr="00F43D11" w:rsidRDefault="006E02A1" w:rsidP="00C613BF">
            <w:pPr>
              <w:jc w:val="center"/>
              <w:rPr>
                <w:rFonts w:cstheme="minorHAnsi"/>
                <w:b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72.500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B2AE3" w14:textId="65A1B6D0" w:rsidR="004834C9" w:rsidRPr="00F43D11" w:rsidRDefault="00F43D11" w:rsidP="00C613B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F43D11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hr-HR"/>
              </w:rPr>
              <w:t>7</w:t>
            </w:r>
            <w:r w:rsidR="006E02A1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hr-HR"/>
              </w:rPr>
              <w:t>2.500</w:t>
            </w:r>
          </w:p>
        </w:tc>
      </w:tr>
      <w:tr w:rsidR="004834C9" w:rsidRPr="002A45F3" w14:paraId="2C45B1D5" w14:textId="77777777" w:rsidTr="00F43D11">
        <w:trPr>
          <w:trHeight w:val="286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D51A9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7359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FE496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44BA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858A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DBD40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209FB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4349DF90" w14:textId="77777777" w:rsidTr="00F43D11">
        <w:trPr>
          <w:trHeight w:val="286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41572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5A74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5FC24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CF69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E348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F2FD3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A966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bookmarkEnd w:id="5"/>
      <w:bookmarkEnd w:id="6"/>
    </w:tbl>
    <w:p w14:paraId="04127CD8" w14:textId="462537DD" w:rsidR="004834C9" w:rsidRPr="002A45F3" w:rsidRDefault="004834C9" w:rsidP="004834C9">
      <w:pPr>
        <w:rPr>
          <w:rFonts w:ascii="Arial" w:hAnsi="Arial" w:cs="Arial"/>
        </w:rPr>
      </w:pPr>
    </w:p>
    <w:p w14:paraId="1CDCF6A6" w14:textId="02D1B4C2" w:rsidR="00C45D1E" w:rsidRPr="002A45F3" w:rsidRDefault="00C45D1E" w:rsidP="004834C9">
      <w:pPr>
        <w:rPr>
          <w:rFonts w:ascii="Arial" w:hAnsi="Arial" w:cs="Arial"/>
        </w:rPr>
      </w:pPr>
    </w:p>
    <w:p w14:paraId="4210362A" w14:textId="626A36B7" w:rsidR="00C45D1E" w:rsidRPr="002A45F3" w:rsidRDefault="00C45D1E" w:rsidP="004834C9">
      <w:pPr>
        <w:rPr>
          <w:rFonts w:ascii="Arial" w:hAnsi="Arial" w:cs="Arial"/>
        </w:rPr>
      </w:pPr>
    </w:p>
    <w:p w14:paraId="1FC1EF90" w14:textId="65A3BFB1" w:rsidR="00C45D1E" w:rsidRPr="002A45F3" w:rsidRDefault="00C45D1E" w:rsidP="004834C9">
      <w:pPr>
        <w:rPr>
          <w:rFonts w:ascii="Arial" w:hAnsi="Arial" w:cs="Arial"/>
        </w:rPr>
      </w:pPr>
    </w:p>
    <w:p w14:paraId="55FDC4F0" w14:textId="77777777" w:rsidR="00C45D1E" w:rsidRPr="002A45F3" w:rsidRDefault="00C45D1E" w:rsidP="004834C9">
      <w:pPr>
        <w:rPr>
          <w:rFonts w:ascii="Arial" w:hAnsi="Arial" w:cs="Arial"/>
        </w:rPr>
      </w:pPr>
    </w:p>
    <w:bookmarkEnd w:id="4"/>
    <w:p w14:paraId="22C931F7" w14:textId="3D42435C" w:rsidR="004834C9" w:rsidRPr="002A45F3" w:rsidRDefault="004834C9" w:rsidP="004834C9">
      <w:pPr>
        <w:rPr>
          <w:rFonts w:ascii="Arial" w:hAnsi="Arial" w:cs="Arial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834C9" w:rsidRPr="002A45F3" w14:paraId="44D6A7A7" w14:textId="77777777" w:rsidTr="00514E8C">
        <w:trPr>
          <w:trHeight w:val="30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948B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 REDOVNA DJELATNOST OSNOVNOG OBRAZOVANJA</w:t>
            </w:r>
          </w:p>
          <w:p w14:paraId="47E55ABC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4834C9" w:rsidRPr="002A45F3" w14:paraId="34F6F769" w14:textId="77777777" w:rsidTr="00514E8C">
        <w:trPr>
          <w:trHeight w:val="509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7E7" w14:textId="6474342A" w:rsidR="00A41271" w:rsidRPr="00A41271" w:rsidRDefault="00A41271" w:rsidP="00A41271">
            <w:pPr>
              <w:spacing w:line="288" w:lineRule="auto"/>
              <w:rPr>
                <w:rFonts w:cstheme="minorHAnsi"/>
              </w:rPr>
            </w:pPr>
            <w:r w:rsidRPr="00A41271">
              <w:rPr>
                <w:rFonts w:cstheme="minorHAnsi"/>
              </w:rPr>
              <w:t xml:space="preserve">Izdatke za zaposlene financira Država kroz resorno ministarstvo u čijoj je ovlasti cijelo područje radnih odnosa i plaća zaposlenika u školstvu. Obračun i isplata plaća i materijalnih prava zaposlenika vrše se kroz Centralni obračun plaća (COP). </w:t>
            </w:r>
          </w:p>
          <w:p w14:paraId="67E30625" w14:textId="59022E43" w:rsidR="00A41271" w:rsidRPr="00A41271" w:rsidRDefault="00A41271" w:rsidP="00A41271">
            <w:pPr>
              <w:rPr>
                <w:rFonts w:cstheme="minorHAnsi"/>
              </w:rPr>
            </w:pPr>
            <w:r w:rsidRPr="00A41271">
              <w:rPr>
                <w:rFonts w:cstheme="minorHAnsi"/>
              </w:rPr>
              <w:t>Nastavno osoblje obavlja odgojno obrazovne poslove u svezi s izvođenjem nastavnog plana i programa, neposrednog odgojno obrazovnog rada s učenicima, aktivnosti u skladu s potrebama i interesima učenika te promicanje stručno-pedagoškog rada škole i ostalih stručno pedagoških poslova u skladu sa zakonom, provedbenim propisima, godišnjim planom i programom rada škole i školskim kurikulumom u 40-satnom radnom tjednu, o čemu im se izdaje rješenje o tjednom i godišnjem zaduženju. Tjedne radne obveze učitelja i stručnih suradnika propisuje ministar Pravilnikom. Povećanje ili smanjenje izdataka za zaposlene ovisit će o politici Vlade i dogovoru Vlade i sindikata oko reguliranja prava zaposlenih u kolektivnim ugovorima, te ih je moguće planirati okvirno, prema podacima iz tekuće godine.</w:t>
            </w:r>
          </w:p>
          <w:p w14:paraId="0B6FA69E" w14:textId="43B5959C" w:rsidR="00A41271" w:rsidRPr="00A41271" w:rsidRDefault="00A41271" w:rsidP="00A41271">
            <w:pPr>
              <w:spacing w:after="21"/>
              <w:ind w:left="108"/>
              <w:rPr>
                <w:rFonts w:cstheme="minorHAnsi"/>
              </w:rPr>
            </w:pPr>
          </w:p>
          <w:p w14:paraId="79EA84D6" w14:textId="5557A176" w:rsidR="004834C9" w:rsidRPr="002A45F3" w:rsidRDefault="00A41271" w:rsidP="00A41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41271">
              <w:rPr>
                <w:rFonts w:cstheme="minorHAnsi"/>
              </w:rPr>
              <w:t>Nenastavno osoblje prema  Pravilnik o djelokrugu rada tajnika te administrativno tehničkim i pomoćnim poslovima koji se obavljaju u osnovnoškolskoj ustanovi (N.N.br</w:t>
            </w:r>
            <w:r w:rsidRPr="00A41271">
              <w:rPr>
                <w:rFonts w:cstheme="minorHAnsi"/>
                <w:color w:val="FF0000"/>
              </w:rPr>
              <w:t xml:space="preserve">. </w:t>
            </w:r>
            <w:r w:rsidRPr="00A41271">
              <w:rPr>
                <w:rFonts w:cstheme="minorHAnsi"/>
              </w:rPr>
              <w:t>40/14.)</w:t>
            </w:r>
            <w:r w:rsidRPr="00A41271">
              <w:rPr>
                <w:rFonts w:cstheme="minorHAnsi"/>
                <w:color w:val="FF0000"/>
              </w:rPr>
              <w:t xml:space="preserve"> </w:t>
            </w:r>
            <w:r w:rsidRPr="00A41271">
              <w:rPr>
                <w:rFonts w:cstheme="minorHAnsi"/>
              </w:rPr>
              <w:t xml:space="preserve">obavlja opće, pravne i kadrovske   poslove, računovodstvene i knjigovodstvene poslove, poslove vođenja i čuvanja pedagoške dokumentacije i evidenciju te ostale evidencije, poslove tehničkog održavanja i rukovanja opremom i uređajima, poslove održavanja čistoće objekata i okoliša te druge pomoćne poslove u skladu sa zakonskim propisima, </w:t>
            </w:r>
            <w:proofErr w:type="spellStart"/>
            <w:r w:rsidRPr="00A41271">
              <w:rPr>
                <w:rFonts w:cstheme="minorHAnsi"/>
              </w:rPr>
              <w:t>podzakonskim</w:t>
            </w:r>
            <w:proofErr w:type="spellEnd"/>
            <w:r w:rsidRPr="00A41271">
              <w:rPr>
                <w:rFonts w:cstheme="minorHAnsi"/>
              </w:rPr>
              <w:t xml:space="preserve"> i provedbenim propisima te  godišnjim planom i programom rada Škole. Djelokrug rada, popis poslova, broj izvršitelja te količinu radnog vremena na tim poslovima propisuje ministar.</w:t>
            </w:r>
            <w:r w:rsidRPr="00904E24">
              <w:rPr>
                <w:sz w:val="23"/>
                <w:szCs w:val="23"/>
              </w:rPr>
              <w:t xml:space="preserve">  </w:t>
            </w:r>
          </w:p>
        </w:tc>
      </w:tr>
      <w:tr w:rsidR="004834C9" w:rsidRPr="002A45F3" w14:paraId="636082F6" w14:textId="77777777" w:rsidTr="00514E8C">
        <w:trPr>
          <w:trHeight w:val="611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3FC1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088D0BE3" w14:textId="77777777" w:rsidR="004834C9" w:rsidRPr="002A45F3" w:rsidRDefault="004834C9" w:rsidP="004834C9">
      <w:pPr>
        <w:rPr>
          <w:rFonts w:ascii="Arial" w:hAnsi="Arial" w:cs="Arial"/>
        </w:rPr>
      </w:pPr>
    </w:p>
    <w:p w14:paraId="260DAD5A" w14:textId="77777777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967" w:type="dxa"/>
        <w:jc w:val="center"/>
        <w:tblLook w:val="04A0" w:firstRow="1" w:lastRow="0" w:firstColumn="1" w:lastColumn="0" w:noHBand="0" w:noVBand="1"/>
      </w:tblPr>
      <w:tblGrid>
        <w:gridCol w:w="1433"/>
        <w:gridCol w:w="1590"/>
        <w:gridCol w:w="1130"/>
        <w:gridCol w:w="1460"/>
        <w:gridCol w:w="1268"/>
        <w:gridCol w:w="1268"/>
        <w:gridCol w:w="1818"/>
      </w:tblGrid>
      <w:tr w:rsidR="004834C9" w:rsidRPr="002A45F3" w14:paraId="239B1740" w14:textId="77777777" w:rsidTr="00C613BF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5C01DC6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66432B1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9D8FC6E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58D11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E5A43FB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7EEF23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4CEEF8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C84684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B461770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FDE33B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1903031C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5038630D" w14:textId="77777777" w:rsidTr="00F43D11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B012" w14:textId="7BE81220" w:rsidR="004834C9" w:rsidRPr="002A45F3" w:rsidRDefault="00A41271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8040B">
              <w:rPr>
                <w:i/>
              </w:rPr>
              <w:t xml:space="preserve">Redovita isplata plaća zaposlenima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6A18" w14:textId="77777777" w:rsidR="00A41271" w:rsidRPr="00A41271" w:rsidRDefault="004834C9" w:rsidP="00A412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A41271" w:rsidRPr="00A412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Osiguravanje pravovremene i redovne isplate plaća i materijalnih prava svim zaposlenicima</w:t>
            </w:r>
          </w:p>
          <w:p w14:paraId="608A5065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B12D3" w14:textId="4C573E0B" w:rsidR="004834C9" w:rsidRPr="002A45F3" w:rsidRDefault="00A41271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t>% isplate u skladu s obvezama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0437" w14:textId="1D1225FC" w:rsidR="004834C9" w:rsidRPr="00A41271" w:rsidRDefault="004834C9" w:rsidP="00D51E7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hr-HR"/>
              </w:rPr>
            </w:pPr>
            <w:r w:rsidRPr="00A41271">
              <w:rPr>
                <w:rFonts w:eastAsia="Times New Roman" w:cstheme="minorHAnsi"/>
                <w:b/>
                <w:i/>
                <w:color w:val="000000"/>
                <w:lang w:eastAsia="hr-HR"/>
              </w:rPr>
              <w:t> </w:t>
            </w:r>
            <w:r w:rsidR="00A41271" w:rsidRPr="00A41271">
              <w:rPr>
                <w:rFonts w:eastAsia="Times New Roman" w:cstheme="minorHAnsi"/>
                <w:b/>
                <w:i/>
                <w:color w:val="000000"/>
                <w:lang w:eastAsia="hr-HR"/>
              </w:rPr>
              <w:t>100%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8A78" w14:textId="4316C9A7" w:rsidR="004834C9" w:rsidRPr="00A41271" w:rsidRDefault="004834C9" w:rsidP="00D51E7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hr-HR"/>
              </w:rPr>
            </w:pPr>
            <w:r w:rsidRPr="00A41271">
              <w:rPr>
                <w:rFonts w:eastAsia="Times New Roman" w:cstheme="minorHAnsi"/>
                <w:b/>
                <w:i/>
                <w:color w:val="000000"/>
                <w:lang w:eastAsia="hr-HR"/>
              </w:rPr>
              <w:t> </w:t>
            </w:r>
            <w:r w:rsidR="00A41271" w:rsidRPr="00A41271">
              <w:rPr>
                <w:rFonts w:eastAsia="Times New Roman" w:cstheme="minorHAnsi"/>
                <w:b/>
                <w:i/>
                <w:color w:val="000000"/>
                <w:lang w:eastAsia="hr-HR"/>
              </w:rPr>
              <w:t>100%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10B4A" w14:textId="13B9BD72" w:rsidR="004834C9" w:rsidRPr="00A41271" w:rsidRDefault="004834C9" w:rsidP="00D51E7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hr-HR"/>
              </w:rPr>
            </w:pPr>
            <w:r w:rsidRPr="00A41271">
              <w:rPr>
                <w:rFonts w:eastAsia="Times New Roman" w:cstheme="minorHAnsi"/>
                <w:b/>
                <w:i/>
                <w:color w:val="000000"/>
                <w:lang w:eastAsia="hr-HR"/>
              </w:rPr>
              <w:t> </w:t>
            </w:r>
            <w:r w:rsidR="00A41271" w:rsidRPr="00A41271">
              <w:rPr>
                <w:rFonts w:eastAsia="Times New Roman" w:cstheme="minorHAnsi"/>
                <w:b/>
                <w:i/>
                <w:color w:val="000000"/>
                <w:lang w:eastAsia="hr-HR"/>
              </w:rPr>
              <w:t>100%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ECBA" w14:textId="4B957172" w:rsidR="004834C9" w:rsidRPr="00A41271" w:rsidRDefault="00A41271" w:rsidP="00D51E7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hr-HR"/>
              </w:rPr>
            </w:pPr>
            <w:r w:rsidRPr="00A41271">
              <w:rPr>
                <w:rFonts w:eastAsia="Times New Roman" w:cstheme="minorHAnsi"/>
                <w:b/>
                <w:i/>
                <w:color w:val="000000"/>
                <w:lang w:eastAsia="hr-HR"/>
              </w:rPr>
              <w:t>100%</w:t>
            </w:r>
          </w:p>
        </w:tc>
      </w:tr>
      <w:tr w:rsidR="004834C9" w:rsidRPr="002A45F3" w14:paraId="3C3646FE" w14:textId="77777777" w:rsidTr="00F43D11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CCE81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EA1B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3CCFA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4B04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BB22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CE9A8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CB7DD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15CF74B5" w14:textId="77777777" w:rsidTr="00F43D11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5079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EF67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9F3CB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A77C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19BC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02B65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DA353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52BCF727" w14:textId="73F30996" w:rsidR="004834C9" w:rsidRPr="002A45F3" w:rsidRDefault="004834C9" w:rsidP="004834C9">
      <w:pPr>
        <w:rPr>
          <w:rFonts w:ascii="Arial" w:hAnsi="Arial" w:cs="Arial"/>
          <w:b/>
        </w:rPr>
      </w:pPr>
    </w:p>
    <w:p w14:paraId="4DC3C83C" w14:textId="6AE592AA" w:rsidR="00C94AF1" w:rsidRPr="002A45F3" w:rsidRDefault="00C94AF1" w:rsidP="004834C9">
      <w:pPr>
        <w:rPr>
          <w:rFonts w:ascii="Arial" w:hAnsi="Arial" w:cs="Arial"/>
          <w:b/>
        </w:rPr>
      </w:pPr>
    </w:p>
    <w:p w14:paraId="0438810B" w14:textId="06BB2B16" w:rsidR="00C94AF1" w:rsidRPr="002A45F3" w:rsidRDefault="00C94AF1" w:rsidP="004834C9">
      <w:pPr>
        <w:rPr>
          <w:rFonts w:ascii="Arial" w:hAnsi="Arial" w:cs="Arial"/>
          <w:b/>
        </w:rPr>
      </w:pPr>
    </w:p>
    <w:p w14:paraId="5570A549" w14:textId="5D81C77F" w:rsidR="00C94AF1" w:rsidRPr="002A45F3" w:rsidRDefault="00C94AF1" w:rsidP="004834C9">
      <w:pPr>
        <w:rPr>
          <w:rFonts w:ascii="Arial" w:hAnsi="Arial" w:cs="Arial"/>
          <w:b/>
        </w:rPr>
      </w:pPr>
    </w:p>
    <w:p w14:paraId="56CF3524" w14:textId="66369665" w:rsidR="00C94AF1" w:rsidRPr="002A45F3" w:rsidRDefault="00C94AF1" w:rsidP="004834C9">
      <w:pPr>
        <w:rPr>
          <w:rFonts w:ascii="Arial" w:hAnsi="Arial" w:cs="Arial"/>
          <w:b/>
        </w:rPr>
      </w:pPr>
    </w:p>
    <w:p w14:paraId="2AFD2A93" w14:textId="5B85A1AD" w:rsidR="00C94AF1" w:rsidRPr="002A45F3" w:rsidRDefault="00C94AF1" w:rsidP="004834C9">
      <w:pPr>
        <w:rPr>
          <w:rFonts w:ascii="Arial" w:hAnsi="Arial" w:cs="Arial"/>
          <w:b/>
        </w:rPr>
      </w:pPr>
    </w:p>
    <w:p w14:paraId="6F47F6FB" w14:textId="77777777" w:rsidR="00DA4CE6" w:rsidRPr="002A45F3" w:rsidRDefault="00DA4CE6" w:rsidP="004834C9">
      <w:pPr>
        <w:rPr>
          <w:rFonts w:ascii="Arial" w:hAnsi="Arial" w:cs="Arial"/>
          <w:b/>
        </w:rPr>
      </w:pPr>
    </w:p>
    <w:p w14:paraId="12017DCB" w14:textId="77777777" w:rsidR="00C45D1E" w:rsidRPr="002A45F3" w:rsidRDefault="00C45D1E" w:rsidP="00C45D1E">
      <w:pPr>
        <w:rPr>
          <w:rFonts w:ascii="Arial" w:hAnsi="Arial" w:cs="Arial"/>
        </w:rPr>
      </w:pPr>
    </w:p>
    <w:p w14:paraId="5E438692" w14:textId="79E67D08" w:rsidR="00C45D1E" w:rsidRPr="002A45F3" w:rsidRDefault="00C45D1E" w:rsidP="00C45D1E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b/>
        </w:rPr>
      </w:pPr>
      <w:bookmarkStart w:id="7" w:name="_Hlk208836238"/>
      <w:r w:rsidRPr="002A45F3">
        <w:rPr>
          <w:rFonts w:ascii="Arial" w:hAnsi="Arial" w:cs="Arial"/>
          <w:b/>
        </w:rPr>
        <w:t>OBRAZLOŽENJE PROGRAMA</w:t>
      </w:r>
    </w:p>
    <w:p w14:paraId="1A578841" w14:textId="77777777" w:rsidR="00C45D1E" w:rsidRPr="002A45F3" w:rsidRDefault="00C45D1E" w:rsidP="00C45D1E">
      <w:pPr>
        <w:pStyle w:val="Odlomakpopisa"/>
        <w:spacing w:after="0"/>
        <w:rPr>
          <w:rFonts w:ascii="Arial" w:hAnsi="Arial" w:cs="Arial"/>
          <w:b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2013"/>
      </w:tblGrid>
      <w:tr w:rsidR="00C94AF1" w:rsidRPr="002A45F3" w14:paraId="4FF8E85E" w14:textId="77777777" w:rsidTr="00C613BF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bookmarkEnd w:id="7"/>
          <w:p w14:paraId="0D47C388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524DDF3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426366D4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6CABA7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3602214D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C455BA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197060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C94AF1" w:rsidRPr="002A45F3" w14:paraId="526E1BFE" w14:textId="77777777" w:rsidTr="002A45F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AE3E0" w14:textId="77777777" w:rsidR="00C94AF1" w:rsidRPr="002A45F3" w:rsidRDefault="00C94AF1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18055 DECENTRALIZIRANE FUNKCIJE-IZNAD MINIMALNOG FINANCIJSKOG STANDARDA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FB3E" w14:textId="06526393" w:rsidR="00C94AF1" w:rsidRPr="002A45F3" w:rsidRDefault="00914AAE" w:rsidP="00C61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343.190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3E75" w14:textId="58F9249E" w:rsidR="00C94AF1" w:rsidRPr="002A45F3" w:rsidRDefault="00034637" w:rsidP="00C61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342.290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3EC89" w14:textId="346F0189" w:rsidR="00C94AF1" w:rsidRPr="002A45F3" w:rsidRDefault="00914AAE" w:rsidP="00C61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474.700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64265" w14:textId="51CD9478" w:rsidR="00C94AF1" w:rsidRPr="002A45F3" w:rsidRDefault="00914AAE" w:rsidP="00C613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474.700</w:t>
            </w:r>
          </w:p>
        </w:tc>
      </w:tr>
    </w:tbl>
    <w:p w14:paraId="2B8ABAA3" w14:textId="77777777" w:rsidR="00C94AF1" w:rsidRPr="002A45F3" w:rsidRDefault="00C94AF1" w:rsidP="004834C9">
      <w:pPr>
        <w:rPr>
          <w:rFonts w:ascii="Arial" w:hAnsi="Arial" w:cs="Arial"/>
          <w:b/>
        </w:rPr>
      </w:pPr>
    </w:p>
    <w:p w14:paraId="3662843C" w14:textId="0426D11E" w:rsidR="004834C9" w:rsidRPr="002A45F3" w:rsidRDefault="00C94AF1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OBRAZLOŽENJE PROGRAMA: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3C784D9A" w14:textId="77777777" w:rsidTr="002A45F3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FC6B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PROGRAM: 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18055 DECENTRALIZIRANE FUNKCIJE-IZNAD MINIMALNOG FINANCIJSKOG STANDARDA</w:t>
            </w:r>
          </w:p>
        </w:tc>
      </w:tr>
      <w:tr w:rsidR="004834C9" w:rsidRPr="002A45F3" w14:paraId="7A076A75" w14:textId="77777777" w:rsidTr="002A45F3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F6472" w14:textId="15C236ED" w:rsidR="00A41271" w:rsidRPr="00A41271" w:rsidRDefault="004834C9" w:rsidP="00A41271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A41271">
              <w:rPr>
                <w:rFonts w:eastAsia="Times New Roman" w:cstheme="minorHAnsi"/>
                <w:color w:val="000000"/>
                <w:lang w:eastAsia="hr-HR"/>
              </w:rPr>
              <w:t>:</w:t>
            </w:r>
            <w:r w:rsidR="00A41271" w:rsidRPr="00A41271">
              <w:rPr>
                <w:rFonts w:eastAsia="Times New Roman" w:cstheme="minorHAnsi"/>
                <w:color w:val="000000"/>
                <w:lang w:eastAsia="hr-HR"/>
              </w:rPr>
              <w:t xml:space="preserve"> Decentralizirane funkcije iznad minimalnog financijskog standarda odnose se na dodatne aktivnosti koje lokalne jedinice (poput gradova i županija) preuzimaju u odnosu na osnovne obveze koje propisuje država. Ove funkcije nadmašuju minimalne zahtjeve propisane za školstvo, omogućujući lokalnim zajednicama veću fleksibilnost i mogućnost prilagodbe obrazovnih usluga specifičnim potrebama i prioritetima lokalnog stanovništva. </w:t>
            </w:r>
          </w:p>
          <w:p w14:paraId="182D394A" w14:textId="77777777" w:rsidR="00A41271" w:rsidRPr="00A41271" w:rsidRDefault="00A41271" w:rsidP="00A412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41271">
              <w:rPr>
                <w:rFonts w:eastAsia="Times New Roman" w:cstheme="minorHAnsi"/>
                <w:color w:val="000000"/>
                <w:lang w:eastAsia="hr-HR"/>
              </w:rPr>
              <w:t xml:space="preserve">U kontekstu školskog sustava, decentralizacija iznad minimalnog financijskog standarda podrazumijeva da osim osnovnog financiranja koje država osigurava putem centraliziranih kanala (kao što su Ministarstvo znanosti, obrazovanja i mladih), lokalna samouprava također može ulagati u dodatne resurse i usluge koje poboljšavaju obrazovne uvjete i kvalitetu nastave. </w:t>
            </w:r>
          </w:p>
          <w:p w14:paraId="6E45D9F8" w14:textId="19FB977D" w:rsidR="004834C9" w:rsidRPr="00A41271" w:rsidRDefault="00A41271" w:rsidP="00A4127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41271">
              <w:rPr>
                <w:rFonts w:eastAsia="Times New Roman" w:cstheme="minorHAnsi"/>
                <w:color w:val="000000"/>
                <w:lang w:eastAsia="hr-HR"/>
              </w:rPr>
              <w:t>Decentralizacija iznad minimalnog financijskog standarda omogućava lokalnim zajednicama da bolje odgovore na specifične obrazovne potrebe svojih učenika, doprinosi razvoju kvalitete obrazovanja na lokalnoj razini i omogućuje bolju prilagodbu obrazovnog sustava lokalnim uvjetima i prioritetima. Na taj način, školske ustanove mogu pružiti šire i bogatije obrazovne iskustvo koje prelazi okvire osnovnih zakonskih zahtjeva.</w:t>
            </w:r>
          </w:p>
          <w:p w14:paraId="08C7F4C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7AE8329C" w14:textId="77777777" w:rsidTr="002A45F3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C12BA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37953DE7" w14:textId="77777777" w:rsidR="00A41271" w:rsidRPr="00A41271" w:rsidRDefault="00A41271" w:rsidP="00A41271">
            <w:r w:rsidRPr="00A41271">
              <w:t xml:space="preserve">Zakon o odgoju i obrazovanju u osnovnoj i srednjoj školi (NN br. 87/08., 86/09., 92/10., 105/10., 90/11., 5/12.,  16/12., 86/12., </w:t>
            </w:r>
          </w:p>
          <w:p w14:paraId="7374A2DA" w14:textId="77777777" w:rsidR="00A41271" w:rsidRPr="00A41271" w:rsidRDefault="00A41271" w:rsidP="00A41271">
            <w:pPr>
              <w:spacing w:after="50"/>
            </w:pPr>
            <w:r w:rsidRPr="00A41271">
              <w:t xml:space="preserve">126/12., 94/13.,  152/14., 07/17, i 68/18., 64/20). </w:t>
            </w:r>
          </w:p>
          <w:p w14:paraId="5C988BFD" w14:textId="49DA3EA4" w:rsidR="00A41271" w:rsidRPr="00A41271" w:rsidRDefault="00A41271" w:rsidP="00A41271">
            <w:pPr>
              <w:spacing w:line="257" w:lineRule="auto"/>
            </w:pPr>
            <w:r w:rsidRPr="00A41271">
              <w:t>Upute  za izradu  proračuna Grada Dubrovnika i Financijskih planova proračunskih korisnika Grada Dubrovnika za razdoblje 20</w:t>
            </w:r>
            <w:r>
              <w:t>26</w:t>
            </w:r>
            <w:r w:rsidRPr="00A41271">
              <w:t>., 202</w:t>
            </w:r>
            <w:r>
              <w:t>7</w:t>
            </w:r>
            <w:r w:rsidRPr="00A41271">
              <w:t>. i 202</w:t>
            </w:r>
            <w:r>
              <w:t>8</w:t>
            </w:r>
            <w:r w:rsidRPr="00A41271">
              <w:t xml:space="preserve">. </w:t>
            </w:r>
          </w:p>
          <w:p w14:paraId="633F606B" w14:textId="16BE02CB" w:rsidR="00A41271" w:rsidRPr="00A41271" w:rsidRDefault="00A41271" w:rsidP="00A41271">
            <w:pPr>
              <w:spacing w:after="73" w:line="238" w:lineRule="auto"/>
              <w:ind w:right="5559"/>
            </w:pPr>
            <w:r w:rsidRPr="00A41271">
              <w:t>Godišnji plan i program rada škole za školsku godinu 202</w:t>
            </w:r>
            <w:r>
              <w:t>5</w:t>
            </w:r>
            <w:r w:rsidRPr="00A41271">
              <w:t>./202</w:t>
            </w:r>
            <w:r>
              <w:t>6</w:t>
            </w:r>
            <w:r w:rsidRPr="00A41271">
              <w:t>. Kurikulum škole za školsku godinu 202</w:t>
            </w:r>
            <w:r>
              <w:t>5</w:t>
            </w:r>
            <w:r w:rsidRPr="00A41271">
              <w:t>./202</w:t>
            </w:r>
            <w:r>
              <w:t>6</w:t>
            </w:r>
            <w:r w:rsidRPr="00A41271">
              <w:t xml:space="preserve">. </w:t>
            </w:r>
          </w:p>
          <w:p w14:paraId="1162DE36" w14:textId="77777777" w:rsidR="00A41271" w:rsidRPr="00A41271" w:rsidRDefault="00A41271" w:rsidP="00A41271">
            <w:pPr>
              <w:spacing w:line="257" w:lineRule="auto"/>
            </w:pPr>
            <w:r w:rsidRPr="00A41271">
              <w:t>Obavijest o odobrenim sredstvima ( limiti ) u proračunu Grada Dubrovnika,  Upravni odjel za obrazovanje, šport, socijalnu skrb i civilno društvo.</w:t>
            </w:r>
          </w:p>
          <w:p w14:paraId="562F9807" w14:textId="77777777" w:rsidR="004834C9" w:rsidRPr="002A45F3" w:rsidRDefault="004834C9" w:rsidP="00A41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06F1B057" w14:textId="77777777" w:rsidTr="002A45F3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EA845B" w14:textId="756C2DDE" w:rsidR="004834C9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lastRenderedPageBreak/>
              <w:t>Ciljevi provedbe programa u razdoblju 2026.-2028.</w:t>
            </w:r>
          </w:p>
          <w:p w14:paraId="5228A4AB" w14:textId="77777777" w:rsidR="00D97E76" w:rsidRPr="002A45F3" w:rsidRDefault="00D97E76" w:rsidP="00D5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14:paraId="0DFCC7D4" w14:textId="77777777" w:rsidR="00D97E76" w:rsidRDefault="00D97E76" w:rsidP="00D97E76">
            <w:pPr>
              <w:spacing w:line="320" w:lineRule="auto"/>
              <w:rPr>
                <w:sz w:val="23"/>
                <w:szCs w:val="23"/>
              </w:rPr>
            </w:pPr>
            <w:r w:rsidRPr="00A41271">
              <w:rPr>
                <w:rFonts w:eastAsia="Times New Roman" w:cstheme="minorHAnsi"/>
                <w:color w:val="000000"/>
                <w:lang w:eastAsia="hr-HR"/>
              </w:rPr>
              <w:t>Decentralizacija iznad minimalnog financijskog standarda omogućava lokalnim zajednicama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odnosno Osnivaču</w:t>
            </w:r>
            <w:r w:rsidRPr="00A41271">
              <w:rPr>
                <w:rFonts w:eastAsia="Times New Roman" w:cstheme="minorHAnsi"/>
                <w:color w:val="000000"/>
                <w:lang w:eastAsia="hr-HR"/>
              </w:rPr>
              <w:t xml:space="preserve"> da bolje odgovore na specifične obrazovne potrebe svojih učenika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što </w:t>
            </w:r>
            <w:r w:rsidRPr="00A41271">
              <w:rPr>
                <w:rFonts w:eastAsia="Times New Roman" w:cstheme="minorHAnsi"/>
                <w:color w:val="000000"/>
                <w:lang w:eastAsia="hr-HR"/>
              </w:rPr>
              <w:t>doprinosi razvoju kvalitete obrazovanja na lokalnoj razini i omogućuje bolju prilagodbu obrazovnog sustava lokalnim uvjetima i prioritetima. Na taj način, školske ustanove mogu pružiti šire i bogatije obrazovne iskustvo koje prelazi okvire osnovnih zakonskih zahtjeva.</w:t>
            </w:r>
            <w:r w:rsidRPr="00904E24">
              <w:rPr>
                <w:sz w:val="23"/>
                <w:szCs w:val="23"/>
              </w:rPr>
              <w:t xml:space="preserve"> </w:t>
            </w:r>
          </w:p>
          <w:p w14:paraId="31B4FA43" w14:textId="263C8A3D" w:rsidR="004834C9" w:rsidRPr="002A45F3" w:rsidRDefault="00D97E76" w:rsidP="00D97E76">
            <w:pPr>
              <w:spacing w:line="32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>
              <w:t xml:space="preserve">Cilj projekata iznad minimalnog financijskog standarda je omogućiti učenicima razvijanje različitih sposobnosti, interesa i potencijala kroz sadržaje koji nadilaze redovnu nastavu, uz stručnu podršku i mentorstvo školskih djelatnika. Kroz projekte kao što su produženi boravak, stručno-razvojne službe, pomoćnici u nastavi za djecu s teškoćama, shema školskog voća, ostali razvojni i </w:t>
            </w:r>
            <w:proofErr w:type="spellStart"/>
            <w:r>
              <w:t>inkluzivni</w:t>
            </w:r>
            <w:proofErr w:type="spellEnd"/>
            <w:r>
              <w:t xml:space="preserve"> programi u osnovnom školstvu te tekuće investicijsko održavanje iznad minimalnog standarda, škola osigurava dodatnu podršku i raznolike prilike za učenike, s naglaskom na individualne potrebe, </w:t>
            </w:r>
            <w:proofErr w:type="spellStart"/>
            <w:r>
              <w:t>inkluzivnost</w:t>
            </w:r>
            <w:proofErr w:type="spellEnd"/>
            <w:r>
              <w:t xml:space="preserve"> i kvalitetnije obrazovno okruženje. Ovi projekti doprinose stvaranju poticajne i suvremene škole usmjerene na cjelovit razvoj svakog učenika.</w:t>
            </w:r>
          </w:p>
        </w:tc>
      </w:tr>
    </w:tbl>
    <w:p w14:paraId="01069E79" w14:textId="77777777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75FA4984" w14:textId="77777777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1DE34AB0" w14:textId="77777777" w:rsidR="004834C9" w:rsidRPr="002A45F3" w:rsidRDefault="004834C9" w:rsidP="004834C9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Procjena i ishodište potrebnih sredstava za aktivnosti/projekte unutar programa</w:t>
      </w:r>
    </w:p>
    <w:p w14:paraId="33B4F903" w14:textId="77777777" w:rsidR="004834C9" w:rsidRPr="002A45F3" w:rsidRDefault="004834C9" w:rsidP="004834C9">
      <w:pPr>
        <w:pStyle w:val="Odlomakpopisa"/>
        <w:spacing w:after="0"/>
        <w:rPr>
          <w:rFonts w:ascii="Arial" w:hAnsi="Arial" w:cs="Arial"/>
          <w:b/>
        </w:rPr>
      </w:pPr>
    </w:p>
    <w:p w14:paraId="40C1AEF9" w14:textId="77777777" w:rsidR="004834C9" w:rsidRPr="002A45F3" w:rsidRDefault="004834C9" w:rsidP="004834C9">
      <w:pPr>
        <w:spacing w:after="0"/>
        <w:rPr>
          <w:rFonts w:ascii="Arial" w:hAnsi="Arial" w:cs="Arial"/>
        </w:rPr>
      </w:pPr>
      <w:r w:rsidRPr="002A45F3">
        <w:rPr>
          <w:rFonts w:ascii="Arial" w:hAnsi="Arial" w:cs="Arial"/>
        </w:rPr>
        <w:t>Potrebno je dati pregled financijskih sredstava po aktivnostima/projektima unutar svakog programa:</w:t>
      </w:r>
    </w:p>
    <w:p w14:paraId="616259DA" w14:textId="77777777" w:rsidR="004834C9" w:rsidRPr="002A45F3" w:rsidRDefault="004834C9" w:rsidP="004834C9">
      <w:pPr>
        <w:spacing w:after="0"/>
        <w:rPr>
          <w:rFonts w:ascii="Arial" w:hAnsi="Arial" w:cs="Arial"/>
        </w:rPr>
      </w:pPr>
    </w:p>
    <w:tbl>
      <w:tblPr>
        <w:tblW w:w="10362" w:type="dxa"/>
        <w:tblInd w:w="93" w:type="dxa"/>
        <w:tblLook w:val="04A0" w:firstRow="1" w:lastRow="0" w:firstColumn="1" w:lastColumn="0" w:noHBand="0" w:noVBand="1"/>
      </w:tblPr>
      <w:tblGrid>
        <w:gridCol w:w="3904"/>
        <w:gridCol w:w="1494"/>
        <w:gridCol w:w="1458"/>
        <w:gridCol w:w="1383"/>
        <w:gridCol w:w="2123"/>
      </w:tblGrid>
      <w:tr w:rsidR="004834C9" w:rsidRPr="002A45F3" w14:paraId="30AC91D0" w14:textId="77777777" w:rsidTr="00C613BF">
        <w:trPr>
          <w:trHeight w:val="531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51DE068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aktivnosti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636B1F3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6B558BA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DB2703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3174717C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B328241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BBDA2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4834C9" w:rsidRPr="002A45F3" w14:paraId="07158301" w14:textId="77777777" w:rsidTr="00C613BF">
        <w:trPr>
          <w:trHeight w:val="265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762A044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A805502 OSTALI PROJEKTI U OSNOVNOM ŠKOLSTVU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B4A63" w14:textId="6CA62BE7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29.330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428C" w14:textId="3F08AB94" w:rsidR="004834C9" w:rsidRDefault="00034637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14.530</w:t>
            </w:r>
          </w:p>
          <w:p w14:paraId="3F519134" w14:textId="0A6DA2E8" w:rsidR="00914AAE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5E8B" w14:textId="6513FC2D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36.530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CE7E" w14:textId="4ABE3771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36.530</w:t>
            </w:r>
          </w:p>
        </w:tc>
      </w:tr>
      <w:tr w:rsidR="004834C9" w:rsidRPr="002A45F3" w14:paraId="65007275" w14:textId="77777777" w:rsidTr="00C613BF">
        <w:trPr>
          <w:trHeight w:val="265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5F4F7EED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A805506 PRODUŽENI BORAVAK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2178" w14:textId="58B51D30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132.320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A421" w14:textId="2EA13E4D" w:rsidR="004834C9" w:rsidRPr="002A45F3" w:rsidRDefault="00034637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138.700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4DEB" w14:textId="21EEBADD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143.700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41898" w14:textId="5E83803B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143.700</w:t>
            </w:r>
          </w:p>
        </w:tc>
      </w:tr>
      <w:tr w:rsidR="004834C9" w:rsidRPr="002A45F3" w14:paraId="6B431BB7" w14:textId="77777777" w:rsidTr="00C613BF">
        <w:trPr>
          <w:trHeight w:val="265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8DE99E2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A805521 TEKUĆE I INVESTICIJSKO ODRŽAVANJE IZNAD MINIMALNOG STANDARDA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2162B" w14:textId="40978B5D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4.800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949C2" w14:textId="5EC9854B" w:rsidR="004834C9" w:rsidRPr="002A45F3" w:rsidRDefault="00034637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F8505" w14:textId="5154124E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74.000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F0016" w14:textId="335DC6B6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74.000</w:t>
            </w:r>
          </w:p>
        </w:tc>
      </w:tr>
      <w:tr w:rsidR="004834C9" w:rsidRPr="002A45F3" w14:paraId="36774C91" w14:textId="77777777" w:rsidTr="00C613BF">
        <w:trPr>
          <w:trHeight w:val="265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088B1F83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A805523 STRUČNO RAZVOJNE SLUŽBE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AAF2" w14:textId="7AE70D7A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31.900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EF542" w14:textId="1F54A3D4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33.550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3BBAB" w14:textId="5CC2378F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33.550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36F08" w14:textId="41D9DEC7" w:rsidR="004834C9" w:rsidRPr="002A45F3" w:rsidRDefault="00914AAE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33.550</w:t>
            </w:r>
          </w:p>
        </w:tc>
      </w:tr>
      <w:tr w:rsidR="004834C9" w:rsidRPr="002A45F3" w14:paraId="58C16A5B" w14:textId="77777777" w:rsidTr="00C613BF">
        <w:trPr>
          <w:trHeight w:val="265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9C1152B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A805536 ASISTENT U NASTAVI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5D8D5" w14:textId="36928399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50.520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C1E6C" w14:textId="2B2DF25D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73.920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F42B" w14:textId="4033464F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73.920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EF4C8" w14:textId="3220D885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73.920</w:t>
            </w:r>
          </w:p>
        </w:tc>
      </w:tr>
      <w:tr w:rsidR="004834C9" w:rsidRPr="002A45F3" w14:paraId="2C498A79" w14:textId="77777777" w:rsidTr="00C613BF">
        <w:trPr>
          <w:trHeight w:val="265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728D49A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A805539 </w:t>
            </w:r>
            <w:bookmarkStart w:id="8" w:name="_Hlk208303636"/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NABAVA ŠKOLSKIH UDŽBENIK</w:t>
            </w:r>
            <w:bookmarkEnd w:id="8"/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0B5C9" w14:textId="39CB3AA7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19.000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AB990" w14:textId="2723D42B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21.000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7F1D" w14:textId="798BE830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21.000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3F0C" w14:textId="47890D8D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21.000</w:t>
            </w:r>
          </w:p>
        </w:tc>
      </w:tr>
      <w:tr w:rsidR="004834C9" w:rsidRPr="002A45F3" w14:paraId="565AA0DA" w14:textId="77777777" w:rsidTr="00C613BF">
        <w:trPr>
          <w:trHeight w:val="265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1C521901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A805540 SHEMA ŠKOLSKOG VOĆA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5F510" w14:textId="7EB925A9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1.820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7150B" w14:textId="48511EE6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F239B" w14:textId="2FF19D46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5DEA1" w14:textId="58E9FDCD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2.000</w:t>
            </w:r>
          </w:p>
        </w:tc>
      </w:tr>
      <w:tr w:rsidR="004834C9" w:rsidRPr="002A45F3" w14:paraId="3B372A04" w14:textId="77777777" w:rsidTr="00C613BF">
        <w:trPr>
          <w:trHeight w:val="265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14:paraId="6ED3CE89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A805543 PREHRANA ZA UČENIKE U OSNOVNIM ŠKOLAMA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623E" w14:textId="18BF8CB1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73.500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C3C3" w14:textId="04FDD59B" w:rsidR="004834C9" w:rsidRPr="002A45F3" w:rsidRDefault="00034637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116.650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2BE26" w14:textId="79FAF249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90.000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57505" w14:textId="2268AE35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90.000</w:t>
            </w:r>
          </w:p>
        </w:tc>
      </w:tr>
      <w:tr w:rsidR="004834C9" w:rsidRPr="002A45F3" w14:paraId="71096C34" w14:textId="77777777" w:rsidTr="00C613BF">
        <w:trPr>
          <w:trHeight w:val="410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hideMark/>
          </w:tcPr>
          <w:p w14:paraId="4E53B631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Ukupno program: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14E5D" w14:textId="38325FC1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343.190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83A74" w14:textId="4D297E11" w:rsidR="004834C9" w:rsidRPr="002A45F3" w:rsidRDefault="00A374A1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400.350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2092" w14:textId="416DE92C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474.700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9763A" w14:textId="3097194C" w:rsidR="004834C9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474.700</w:t>
            </w:r>
          </w:p>
        </w:tc>
      </w:tr>
    </w:tbl>
    <w:p w14:paraId="4F9D2427" w14:textId="10416E17" w:rsidR="004834C9" w:rsidRDefault="004834C9" w:rsidP="004834C9">
      <w:pPr>
        <w:spacing w:after="0"/>
        <w:rPr>
          <w:rFonts w:ascii="Arial" w:hAnsi="Arial" w:cs="Arial"/>
          <w:b/>
        </w:rPr>
      </w:pPr>
    </w:p>
    <w:p w14:paraId="39291444" w14:textId="77FB391C" w:rsidR="00D97E76" w:rsidRDefault="00D97E76" w:rsidP="004834C9">
      <w:pPr>
        <w:spacing w:after="0"/>
        <w:rPr>
          <w:rFonts w:ascii="Arial" w:hAnsi="Arial" w:cs="Arial"/>
          <w:b/>
        </w:rPr>
      </w:pPr>
    </w:p>
    <w:p w14:paraId="7BCAE127" w14:textId="312C8A48" w:rsidR="00D97E76" w:rsidRDefault="00D97E76" w:rsidP="004834C9">
      <w:pPr>
        <w:spacing w:after="0"/>
        <w:rPr>
          <w:rFonts w:ascii="Arial" w:hAnsi="Arial" w:cs="Arial"/>
          <w:b/>
        </w:rPr>
      </w:pPr>
    </w:p>
    <w:p w14:paraId="14C1C267" w14:textId="684B9F84" w:rsidR="00D97E76" w:rsidRDefault="00D97E76" w:rsidP="004834C9">
      <w:pPr>
        <w:spacing w:after="0"/>
        <w:rPr>
          <w:rFonts w:ascii="Arial" w:hAnsi="Arial" w:cs="Arial"/>
          <w:b/>
        </w:rPr>
      </w:pPr>
    </w:p>
    <w:p w14:paraId="38336A56" w14:textId="278347DA" w:rsidR="00D97E76" w:rsidRDefault="00D97E76" w:rsidP="004834C9">
      <w:pPr>
        <w:spacing w:after="0"/>
        <w:rPr>
          <w:rFonts w:ascii="Arial" w:hAnsi="Arial" w:cs="Arial"/>
          <w:b/>
        </w:rPr>
      </w:pPr>
    </w:p>
    <w:p w14:paraId="72682B2B" w14:textId="214CFA92" w:rsidR="00D97E76" w:rsidRDefault="00D97E76" w:rsidP="004834C9">
      <w:pPr>
        <w:spacing w:after="0"/>
        <w:rPr>
          <w:rFonts w:ascii="Arial" w:hAnsi="Arial" w:cs="Arial"/>
          <w:b/>
        </w:rPr>
      </w:pPr>
    </w:p>
    <w:p w14:paraId="213586E3" w14:textId="77777777" w:rsidR="00D97E76" w:rsidRPr="002A45F3" w:rsidRDefault="00D97E76" w:rsidP="004834C9">
      <w:pPr>
        <w:spacing w:after="0"/>
        <w:rPr>
          <w:rFonts w:ascii="Arial" w:hAnsi="Arial" w:cs="Arial"/>
          <w:b/>
        </w:rPr>
      </w:pPr>
    </w:p>
    <w:p w14:paraId="22E77E53" w14:textId="25E5F6AB" w:rsidR="00C94AF1" w:rsidRPr="002A45F3" w:rsidRDefault="00C94AF1" w:rsidP="004834C9">
      <w:pPr>
        <w:spacing w:after="0"/>
        <w:rPr>
          <w:rFonts w:ascii="Arial" w:hAnsi="Arial" w:cs="Arial"/>
          <w:b/>
        </w:rPr>
      </w:pPr>
    </w:p>
    <w:p w14:paraId="72A7AF21" w14:textId="77777777" w:rsidR="004834C9" w:rsidRPr="002A45F3" w:rsidRDefault="004834C9" w:rsidP="004834C9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</w:rPr>
      </w:pPr>
      <w:r w:rsidRPr="002A45F3">
        <w:rPr>
          <w:rFonts w:ascii="Arial" w:hAnsi="Arial" w:cs="Arial"/>
        </w:rPr>
        <w:t>U nastavku se za svaku aktivnost/projekt daje obrazloženje i definiraju pokazatelji rezultata:</w:t>
      </w:r>
    </w:p>
    <w:p w14:paraId="25F66C04" w14:textId="77777777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3CDF31F4" w14:textId="77777777" w:rsidTr="00C613BF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99AA5F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bookmarkStart w:id="9" w:name="_Hlk208302880"/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OSTALI PROJEKTI U OSNOVNOM ŠKOLSTVU</w:t>
            </w:r>
          </w:p>
        </w:tc>
      </w:tr>
      <w:tr w:rsidR="004834C9" w:rsidRPr="002A45F3" w14:paraId="750526A9" w14:textId="77777777" w:rsidTr="002A45F3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4378" w14:textId="301E5A62" w:rsidR="004834C9" w:rsidRPr="002A45F3" w:rsidRDefault="00D97E76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lastRenderedPageBreak/>
              <w:t xml:space="preserve">Unutar ovog projekta planirana su sredstva za pokriće troškova električne energije koji se ne mogu pokriti iz redovnih materijalnih troškova. Također na ovom projektu planirana su sredstva za financiranje dijela e </w:t>
            </w:r>
            <w:proofErr w:type="spellStart"/>
            <w:r>
              <w:t>tehinčara</w:t>
            </w:r>
            <w:proofErr w:type="spellEnd"/>
            <w:r>
              <w:t xml:space="preserve"> za školu te za pokriće troškova zaštitarskih usluga na dvije lokacije u Osnovnoj školi Marina Getaldića. </w:t>
            </w:r>
          </w:p>
        </w:tc>
      </w:tr>
      <w:tr w:rsidR="004834C9" w:rsidRPr="002A45F3" w14:paraId="2F558985" w14:textId="77777777" w:rsidTr="002A45F3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19F4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7F899206" w14:textId="77777777" w:rsidR="004834C9" w:rsidRPr="002A45F3" w:rsidRDefault="004834C9" w:rsidP="004834C9">
      <w:pPr>
        <w:rPr>
          <w:rFonts w:ascii="Arial" w:hAnsi="Arial" w:cs="Arial"/>
          <w:b/>
        </w:rPr>
      </w:pPr>
    </w:p>
    <w:p w14:paraId="63C8639F" w14:textId="77777777" w:rsidR="008F00FA" w:rsidRDefault="008F00FA" w:rsidP="004834C9">
      <w:pPr>
        <w:rPr>
          <w:rFonts w:ascii="Arial" w:hAnsi="Arial" w:cs="Arial"/>
          <w:b/>
        </w:rPr>
      </w:pPr>
    </w:p>
    <w:p w14:paraId="0FEA959C" w14:textId="77777777" w:rsidR="008F00FA" w:rsidRDefault="008F00FA" w:rsidP="004834C9">
      <w:pPr>
        <w:rPr>
          <w:rFonts w:ascii="Arial" w:hAnsi="Arial" w:cs="Arial"/>
          <w:b/>
        </w:rPr>
      </w:pPr>
    </w:p>
    <w:p w14:paraId="301E78E5" w14:textId="77777777" w:rsidR="008F00FA" w:rsidRDefault="008F00FA" w:rsidP="004834C9">
      <w:pPr>
        <w:rPr>
          <w:rFonts w:ascii="Arial" w:hAnsi="Arial" w:cs="Arial"/>
          <w:b/>
        </w:rPr>
      </w:pPr>
    </w:p>
    <w:p w14:paraId="48DD89AD" w14:textId="77777777" w:rsidR="008F00FA" w:rsidRDefault="008F00FA" w:rsidP="004834C9">
      <w:pPr>
        <w:rPr>
          <w:rFonts w:ascii="Arial" w:hAnsi="Arial" w:cs="Arial"/>
          <w:b/>
        </w:rPr>
      </w:pPr>
    </w:p>
    <w:p w14:paraId="32F924A8" w14:textId="77777777" w:rsidR="008F00FA" w:rsidRDefault="008F00FA" w:rsidP="004834C9">
      <w:pPr>
        <w:rPr>
          <w:rFonts w:ascii="Arial" w:hAnsi="Arial" w:cs="Arial"/>
          <w:b/>
        </w:rPr>
      </w:pPr>
    </w:p>
    <w:p w14:paraId="5BB3E0CC" w14:textId="75F78012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 xml:space="preserve">Pokazatelji rezultata </w:t>
      </w:r>
    </w:p>
    <w:tbl>
      <w:tblPr>
        <w:tblW w:w="9825" w:type="dxa"/>
        <w:jc w:val="center"/>
        <w:tblLook w:val="04A0" w:firstRow="1" w:lastRow="0" w:firstColumn="1" w:lastColumn="0" w:noHBand="0" w:noVBand="1"/>
      </w:tblPr>
      <w:tblGrid>
        <w:gridCol w:w="1433"/>
        <w:gridCol w:w="1588"/>
        <w:gridCol w:w="1272"/>
        <w:gridCol w:w="1460"/>
        <w:gridCol w:w="1268"/>
        <w:gridCol w:w="1268"/>
        <w:gridCol w:w="1536"/>
      </w:tblGrid>
      <w:tr w:rsidR="004834C9" w:rsidRPr="002A45F3" w14:paraId="4CAC2BE5" w14:textId="77777777" w:rsidTr="00C613BF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EC3CC40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587F7A6E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D88BD3B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D05028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F9FF28F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62944AC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83C437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F502EC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47DF7A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923B9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8054170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6E1C08" w:rsidRPr="002A45F3" w14:paraId="7BD4714B" w14:textId="77777777" w:rsidTr="006E1C08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D19A" w14:textId="7BB58570" w:rsidR="006E1C08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8040B">
              <w:rPr>
                <w:i/>
              </w:rPr>
              <w:t>Održavanje sigurnosti učenika i osoblja, osiguravanje kvalitetnih uvjeta za nesmetan rad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2A42" w14:textId="7DCD1790" w:rsidR="006E1C08" w:rsidRPr="00D97E76" w:rsidRDefault="006E1C08" w:rsidP="006E1C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D97E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Osiguravanje sigurnih i tehničkih uvjeta za odvijanje obrazovnog procesa</w:t>
            </w:r>
          </w:p>
          <w:p w14:paraId="60A1B984" w14:textId="77777777" w:rsidR="006E1C08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DC1D" w14:textId="63D93BA5" w:rsidR="006E1C08" w:rsidRPr="002A45F3" w:rsidRDefault="006E1C08" w:rsidP="006E1C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t>% izvršenosti godišnjeg financijskog plana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A47123D" w14:textId="78CE1AFF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29.330,00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936F80" w14:textId="12ABBEC6" w:rsidR="006E1C08" w:rsidRPr="00A374A1" w:rsidRDefault="00A374A1" w:rsidP="006E1C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A374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14.530,00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A2943F6" w14:textId="010C43A1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</w:rPr>
              <w:t>36.530,00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C2112A0" w14:textId="4E8B388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</w:rPr>
              <w:t>36.530,00</w:t>
            </w:r>
          </w:p>
        </w:tc>
      </w:tr>
      <w:tr w:rsidR="006E1C08" w:rsidRPr="002A45F3" w14:paraId="1F60F39B" w14:textId="77777777" w:rsidTr="006E1C08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B3D0A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6699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9DDBE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738D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C48A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58D39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761D5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E1C08" w:rsidRPr="002A45F3" w14:paraId="1F8AC5E8" w14:textId="77777777" w:rsidTr="006E1C08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329C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7871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164DD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35A4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E018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EDAF3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27B23" w14:textId="77777777" w:rsidR="006E1C08" w:rsidRPr="002A45F3" w:rsidRDefault="006E1C08" w:rsidP="006E1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bookmarkEnd w:id="9"/>
    </w:tbl>
    <w:p w14:paraId="29D7271B" w14:textId="49F55D0B" w:rsidR="004834C9" w:rsidRPr="002A45F3" w:rsidRDefault="004834C9" w:rsidP="004834C9">
      <w:pPr>
        <w:rPr>
          <w:rFonts w:ascii="Arial" w:hAnsi="Arial" w:cs="Arial"/>
        </w:rPr>
      </w:pPr>
    </w:p>
    <w:p w14:paraId="64FF3E7E" w14:textId="77777777" w:rsidR="001F6603" w:rsidRPr="002A45F3" w:rsidRDefault="001F6603" w:rsidP="004834C9">
      <w:pPr>
        <w:rPr>
          <w:rFonts w:ascii="Arial" w:hAnsi="Arial" w:cs="Arial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39452CEA" w14:textId="77777777" w:rsidTr="00C613BF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03F7C6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bookmarkStart w:id="10" w:name="_Hlk208303082"/>
            <w:bookmarkStart w:id="11" w:name="_Hlk207802541"/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PRODUŽENI BORAVAK</w:t>
            </w:r>
          </w:p>
        </w:tc>
      </w:tr>
      <w:tr w:rsidR="004834C9" w:rsidRPr="002A45F3" w14:paraId="731D3B85" w14:textId="77777777" w:rsidTr="002A45F3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72C4" w14:textId="17FABD05" w:rsidR="00C76B31" w:rsidRDefault="00C76B31" w:rsidP="00C76B31">
            <w:pPr>
              <w:spacing w:after="15" w:line="284" w:lineRule="auto"/>
              <w:ind w:left="2"/>
              <w:rPr>
                <w:sz w:val="23"/>
                <w:szCs w:val="23"/>
              </w:rPr>
            </w:pPr>
            <w:r w:rsidRPr="00904E24">
              <w:rPr>
                <w:sz w:val="23"/>
                <w:szCs w:val="23"/>
              </w:rPr>
              <w:t xml:space="preserve">Produženi boravak provodi se kao sustavni program brige za djecu nižih razreda (1. i 2. </w:t>
            </w:r>
            <w:proofErr w:type="spellStart"/>
            <w:r w:rsidRPr="00904E24">
              <w:rPr>
                <w:sz w:val="23"/>
                <w:szCs w:val="23"/>
              </w:rPr>
              <w:t>raz</w:t>
            </w:r>
            <w:proofErr w:type="spellEnd"/>
            <w:r w:rsidRPr="00904E24">
              <w:rPr>
                <w:sz w:val="23"/>
                <w:szCs w:val="23"/>
              </w:rPr>
              <w:t xml:space="preserve">.), koji uključuje organizirani boravak u školi izvan nastave, dodatni odgojno-obrazovni rad i prehranu. Ovim programom obuhvaćene su </w:t>
            </w:r>
            <w:r>
              <w:rPr>
                <w:sz w:val="23"/>
                <w:szCs w:val="23"/>
              </w:rPr>
              <w:t>3</w:t>
            </w:r>
            <w:r w:rsidRPr="00904E24">
              <w:rPr>
                <w:sz w:val="23"/>
                <w:szCs w:val="23"/>
              </w:rPr>
              <w:t xml:space="preserve"> skupine: (</w:t>
            </w:r>
            <w:r>
              <w:rPr>
                <w:sz w:val="23"/>
                <w:szCs w:val="23"/>
              </w:rPr>
              <w:t xml:space="preserve">53 </w:t>
            </w:r>
            <w:r w:rsidRPr="00904E24">
              <w:rPr>
                <w:sz w:val="23"/>
                <w:szCs w:val="23"/>
              </w:rPr>
              <w:t xml:space="preserve">djece)  u školskoj zgradi </w:t>
            </w:r>
            <w:r>
              <w:rPr>
                <w:sz w:val="23"/>
                <w:szCs w:val="23"/>
              </w:rPr>
              <w:t xml:space="preserve">Karmen </w:t>
            </w:r>
            <w:r w:rsidRPr="00904E24">
              <w:rPr>
                <w:sz w:val="23"/>
                <w:szCs w:val="23"/>
              </w:rPr>
              <w:t xml:space="preserve">. U produženom boravku ukupno radi </w:t>
            </w:r>
            <w:r>
              <w:rPr>
                <w:sz w:val="23"/>
                <w:szCs w:val="23"/>
              </w:rPr>
              <w:t>troje djelatnika .</w:t>
            </w:r>
            <w:r w:rsidRPr="00904E24">
              <w:rPr>
                <w:sz w:val="23"/>
                <w:szCs w:val="23"/>
              </w:rPr>
              <w:t xml:space="preserve">Prehrana se osigurava </w:t>
            </w:r>
            <w:proofErr w:type="spellStart"/>
            <w:r w:rsidRPr="00904E24">
              <w:rPr>
                <w:sz w:val="23"/>
                <w:szCs w:val="23"/>
              </w:rPr>
              <w:t>cateringom</w:t>
            </w:r>
            <w:proofErr w:type="spellEnd"/>
            <w:r w:rsidRPr="00904E24">
              <w:rPr>
                <w:sz w:val="23"/>
                <w:szCs w:val="23"/>
              </w:rPr>
              <w:t xml:space="preserve">. Utvrđivanje nutricionistički zahtjeva , uvjeta i načina organiziranja prehrane u nadležnosti su osnivača, higijensko-sanitarne uvjete nadzire sanitarna inspekcija ureda državne uprave u županiji, a učenicima je osigurano 30 minuta za </w:t>
            </w:r>
            <w:r>
              <w:rPr>
                <w:sz w:val="23"/>
                <w:szCs w:val="23"/>
              </w:rPr>
              <w:t>ručak</w:t>
            </w:r>
            <w:r w:rsidRPr="00904E24">
              <w:rPr>
                <w:sz w:val="23"/>
                <w:szCs w:val="23"/>
              </w:rPr>
              <w:t xml:space="preserve">. Organizaciju i način financiranja Programa produženog boravka u osnovnim školama Grada Dubrovnika, Grad Dubrovnik  utvrdio je Pravilnikom o organizaciji Programa produženog boravka u osnovnim školama grada Dubrovnika kojeg je donijelo Gradsko vijeće Grada Dubrovnika </w:t>
            </w:r>
            <w:r w:rsidR="006E1C08">
              <w:rPr>
                <w:sz w:val="23"/>
                <w:szCs w:val="23"/>
              </w:rPr>
              <w:t>( Službeni glasnik br.12/25)</w:t>
            </w:r>
          </w:p>
          <w:p w14:paraId="180965CB" w14:textId="5F17C43E" w:rsidR="00C76B31" w:rsidRPr="00904E24" w:rsidRDefault="00C76B31" w:rsidP="00C76B31">
            <w:pPr>
              <w:spacing w:after="15" w:line="284" w:lineRule="auto"/>
              <w:ind w:left="2"/>
              <w:rPr>
                <w:sz w:val="23"/>
                <w:szCs w:val="23"/>
              </w:rPr>
            </w:pPr>
            <w:r w:rsidRPr="00904E24">
              <w:rPr>
                <w:sz w:val="23"/>
                <w:szCs w:val="23"/>
              </w:rPr>
              <w:t xml:space="preserve">U </w:t>
            </w:r>
            <w:proofErr w:type="spellStart"/>
            <w:r w:rsidRPr="00904E24">
              <w:rPr>
                <w:sz w:val="23"/>
                <w:szCs w:val="23"/>
              </w:rPr>
              <w:t>šk.god</w:t>
            </w:r>
            <w:proofErr w:type="spellEnd"/>
            <w:r w:rsidRPr="00904E24">
              <w:rPr>
                <w:sz w:val="23"/>
                <w:szCs w:val="23"/>
              </w:rPr>
              <w:t>. 202</w:t>
            </w:r>
            <w:r>
              <w:rPr>
                <w:sz w:val="23"/>
                <w:szCs w:val="23"/>
              </w:rPr>
              <w:t>5</w:t>
            </w:r>
            <w:r w:rsidRPr="00904E24">
              <w:rPr>
                <w:sz w:val="23"/>
                <w:szCs w:val="23"/>
              </w:rPr>
              <w:t>./202</w:t>
            </w:r>
            <w:r>
              <w:rPr>
                <w:sz w:val="23"/>
                <w:szCs w:val="23"/>
              </w:rPr>
              <w:t>6</w:t>
            </w:r>
            <w:r w:rsidRPr="00904E24">
              <w:rPr>
                <w:sz w:val="23"/>
                <w:szCs w:val="23"/>
              </w:rPr>
              <w:t xml:space="preserve">. usluge produženog boravka koristit će </w:t>
            </w:r>
            <w:r>
              <w:rPr>
                <w:sz w:val="23"/>
                <w:szCs w:val="23"/>
              </w:rPr>
              <w:t>53</w:t>
            </w:r>
            <w:r w:rsidRPr="00904E2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djece.</w:t>
            </w:r>
          </w:p>
          <w:p w14:paraId="2DD8D983" w14:textId="79CA57AD" w:rsidR="004834C9" w:rsidRPr="002A45F3" w:rsidRDefault="00C76B31" w:rsidP="00C7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04E24">
              <w:rPr>
                <w:sz w:val="23"/>
                <w:szCs w:val="23"/>
              </w:rPr>
              <w:t xml:space="preserve">Za provedbu projekta osigurana su sredstva u gradskom proračunu u iznosu </w:t>
            </w:r>
            <w:r w:rsidRPr="006E1C08">
              <w:rPr>
                <w:sz w:val="23"/>
                <w:szCs w:val="23"/>
              </w:rPr>
              <w:t>od 3</w:t>
            </w:r>
            <w:r w:rsidR="00A374A1">
              <w:rPr>
                <w:sz w:val="23"/>
                <w:szCs w:val="23"/>
              </w:rPr>
              <w:t>0</w:t>
            </w:r>
            <w:r w:rsidRPr="006E1C08">
              <w:rPr>
                <w:sz w:val="23"/>
                <w:szCs w:val="23"/>
              </w:rPr>
              <w:t>.000,00</w:t>
            </w:r>
            <w:r w:rsidRPr="00904E24">
              <w:rPr>
                <w:sz w:val="23"/>
                <w:szCs w:val="23"/>
              </w:rPr>
              <w:t xml:space="preserve"> € i </w:t>
            </w:r>
            <w:r>
              <w:rPr>
                <w:sz w:val="23"/>
                <w:szCs w:val="23"/>
              </w:rPr>
              <w:t xml:space="preserve">uz </w:t>
            </w:r>
            <w:r w:rsidRPr="00904E24">
              <w:rPr>
                <w:sz w:val="23"/>
                <w:szCs w:val="23"/>
              </w:rPr>
              <w:t xml:space="preserve">financiranja roditelja u iznosu od </w:t>
            </w:r>
            <w:r>
              <w:rPr>
                <w:sz w:val="23"/>
                <w:szCs w:val="23"/>
              </w:rPr>
              <w:t xml:space="preserve">4,5 eura po danu za dijete koje je u programu  produženog boravka. </w:t>
            </w:r>
          </w:p>
        </w:tc>
      </w:tr>
      <w:tr w:rsidR="004834C9" w:rsidRPr="002A45F3" w14:paraId="558E81D2" w14:textId="77777777" w:rsidTr="002A45F3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61B7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5717350C" w14:textId="77777777" w:rsidR="004834C9" w:rsidRPr="002A45F3" w:rsidRDefault="004834C9" w:rsidP="004834C9">
      <w:pPr>
        <w:rPr>
          <w:rFonts w:ascii="Arial" w:hAnsi="Arial" w:cs="Arial"/>
        </w:rPr>
      </w:pPr>
    </w:p>
    <w:p w14:paraId="305AEC72" w14:textId="77777777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934" w:type="dxa"/>
        <w:jc w:val="center"/>
        <w:tblLook w:val="04A0" w:firstRow="1" w:lastRow="0" w:firstColumn="1" w:lastColumn="0" w:noHBand="0" w:noVBand="1"/>
      </w:tblPr>
      <w:tblGrid>
        <w:gridCol w:w="2170"/>
        <w:gridCol w:w="1701"/>
        <w:gridCol w:w="1097"/>
        <w:gridCol w:w="1460"/>
        <w:gridCol w:w="1268"/>
        <w:gridCol w:w="1268"/>
        <w:gridCol w:w="1268"/>
      </w:tblGrid>
      <w:tr w:rsidR="004834C9" w:rsidRPr="002A45F3" w14:paraId="3E9496FE" w14:textId="77777777" w:rsidTr="00C613BF">
        <w:trPr>
          <w:trHeight w:val="56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B2D9826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lastRenderedPageBreak/>
              <w:t>Pokazatelj</w:t>
            </w:r>
          </w:p>
          <w:p w14:paraId="0F32AF44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67A85CB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6B782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6EDBEAC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9B8970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9872A3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6B095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25269DB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B3DE2F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55F92EF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35D757D5" w14:textId="77777777" w:rsidTr="006E1C08">
        <w:trPr>
          <w:trHeight w:val="282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2A4" w14:textId="20AAFF2A" w:rsidR="004834C9" w:rsidRPr="00C76B31" w:rsidRDefault="00C76B31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Sigurna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zbrinuta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djeca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koja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kroz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različite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organizirane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aktivnosti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izgrađuju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svoj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identitet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razvijaju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vještine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za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život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. 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Pisanjem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domaće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zadaće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jača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se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samostalnost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učenika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te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se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potiče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vlastita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briga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proofErr w:type="gramStart"/>
            <w:r w:rsidRPr="00C76B31">
              <w:rPr>
                <w:rFonts w:ascii="Calibri" w:hAnsi="Calibri" w:cs="Calibri"/>
                <w:lang w:val="en-GB" w:eastAsia="en-GB"/>
              </w:rPr>
              <w:t>djeteta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 o</w:t>
            </w:r>
            <w:proofErr w:type="gram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svojim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školskim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obavezama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.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Sudjelovanje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grupnim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individualnim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aktivnostima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djeca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poboljšavaju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kretivnost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razvijaju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vještine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te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međusobno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C76B31">
              <w:rPr>
                <w:rFonts w:ascii="Calibri" w:hAnsi="Calibri" w:cs="Calibri"/>
                <w:lang w:val="en-GB" w:eastAsia="en-GB"/>
              </w:rPr>
              <w:t>surađuju</w:t>
            </w:r>
            <w:proofErr w:type="spellEnd"/>
            <w:r w:rsidRPr="00C76B31">
              <w:rPr>
                <w:rFonts w:ascii="Calibri" w:hAnsi="Calibri" w:cs="Calibri"/>
                <w:lang w:val="en-GB" w:eastAsia="en-GB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1BA6" w14:textId="1C38CB5C" w:rsidR="004834C9" w:rsidRPr="00C76B31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76B31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Projekt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produženi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boravak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provodsi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se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kao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sustavni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program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brige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gramStart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za 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djecu</w:t>
            </w:r>
            <w:proofErr w:type="spellEnd"/>
            <w:proofErr w:type="gram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nižih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razreda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,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koji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uključuje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organizirani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boravak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školi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izvan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nastave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,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dodatni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odgojno-obrazovni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rad i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prehranu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.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Dok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su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roditelji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na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poslu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,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učenici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1. i 2.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razreda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imaju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osiguranu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skrb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brigu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="00C76B31" w:rsidRPr="00C76B31">
              <w:rPr>
                <w:rFonts w:ascii="Calibri" w:hAnsi="Calibri" w:cs="Calibri"/>
                <w:lang w:val="en-GB" w:eastAsia="en-GB"/>
              </w:rPr>
              <w:t>školi</w:t>
            </w:r>
            <w:proofErr w:type="spellEnd"/>
            <w:r w:rsidR="00C76B31" w:rsidRPr="00C76B31">
              <w:rPr>
                <w:rFonts w:ascii="Calibri" w:hAnsi="Calibri" w:cs="Calibri"/>
                <w:lang w:val="en-GB" w:eastAsia="en-GB"/>
              </w:rPr>
              <w:t>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B82A1" w14:textId="7D5A59C9" w:rsidR="004834C9" w:rsidRPr="00C76B31" w:rsidRDefault="00C76B31" w:rsidP="00D51E7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76B31"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0D5E" w14:textId="468C0D52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C76B31">
              <w:rPr>
                <w:rFonts w:ascii="Arial" w:eastAsia="Times New Roman" w:hAnsi="Arial" w:cs="Arial"/>
                <w:color w:val="000000"/>
                <w:lang w:eastAsia="hr-HR"/>
              </w:rPr>
              <w:t>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8F70" w14:textId="26B457ED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C76B31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  <w:r w:rsidR="00A374A1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A6B0" w14:textId="4A683831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C76B31">
              <w:rPr>
                <w:rFonts w:ascii="Arial" w:eastAsia="Times New Roman" w:hAnsi="Arial" w:cs="Arial"/>
                <w:color w:val="000000"/>
                <w:lang w:eastAsia="hr-HR"/>
              </w:rPr>
              <w:t>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7019" w14:textId="17CA54C9" w:rsidR="004834C9" w:rsidRPr="002A45F3" w:rsidRDefault="00C76B31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59</w:t>
            </w:r>
          </w:p>
        </w:tc>
      </w:tr>
      <w:tr w:rsidR="004834C9" w:rsidRPr="002A45F3" w14:paraId="4E3962B0" w14:textId="77777777" w:rsidTr="006E1C08">
        <w:trPr>
          <w:trHeight w:val="282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15DAC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5A6A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0608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35CE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C9E0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64607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96876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4D33ADBC" w14:textId="77777777" w:rsidTr="006E1C08">
        <w:trPr>
          <w:trHeight w:val="282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E264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D1B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367CD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EE07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521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C1EFD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DC4CD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bookmarkEnd w:id="10"/>
    </w:tbl>
    <w:p w14:paraId="4EBD29B1" w14:textId="269372A8" w:rsidR="001F6603" w:rsidRPr="002A45F3" w:rsidRDefault="001F6603" w:rsidP="004834C9">
      <w:pPr>
        <w:rPr>
          <w:rFonts w:ascii="Arial" w:hAnsi="Arial" w:cs="Arial"/>
        </w:rPr>
      </w:pPr>
    </w:p>
    <w:p w14:paraId="3B531F8D" w14:textId="77777777" w:rsidR="004834C9" w:rsidRPr="002A45F3" w:rsidRDefault="004834C9" w:rsidP="004834C9">
      <w:pPr>
        <w:rPr>
          <w:rFonts w:ascii="Arial" w:hAnsi="Arial" w:cs="Arial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117FC3A3" w14:textId="77777777" w:rsidTr="00C613BF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EE27F4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STRUČNO RAZVOJNE SLUŽBE</w:t>
            </w:r>
          </w:p>
        </w:tc>
      </w:tr>
      <w:tr w:rsidR="004834C9" w:rsidRPr="002A45F3" w14:paraId="0B9365F9" w14:textId="77777777" w:rsidTr="002A45F3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9F4F" w14:textId="64711D69" w:rsidR="0052223E" w:rsidRPr="00904E24" w:rsidRDefault="0052223E" w:rsidP="0052223E">
            <w:pPr>
              <w:spacing w:after="55"/>
              <w:rPr>
                <w:sz w:val="23"/>
                <w:szCs w:val="23"/>
              </w:rPr>
            </w:pPr>
            <w:r w:rsidRPr="00904E24">
              <w:rPr>
                <w:sz w:val="23"/>
                <w:szCs w:val="23"/>
              </w:rPr>
              <w:t xml:space="preserve">Podizanje kvalitete života i školovanja učenika s posebnim odgojno-obrazovnim potrebama u sustavu redovitog osnovnog školovanja, te pomoć i podrška djeci u razvoju pozitivnih modela ponašanja putem razvoja socijalnih i komunikacijskih vještina. Projekt  izvodi jedan socijalni pedagog na puno radno vrijeme. Ukupan iznos sredstava osigurat će Proračun Grada Dubrovnika iz svojih izvornih prihoda. Socijalni pedagog: Stručni suradnik socijalni pedagog svakodnevno sudjeluje u neposrednom radu sa učenicima, bilo u individualnom radu ili grupnom, surađuje sa roditeljima i učiteljima. Provodi socijalno-pedagoške radionice sa učenicima od 1. do 8. razreda s ciljem učenja socijalnih vještina koje bi im omogućile lakše prevladavanje problema u ponašanju. Također vodi postupak pedagoške opservacije. Budući da sudjeluje u radu Povjerenstva za utvrđivanje psihofizičkog stanja djeteta, pospješuje otkrivanje, </w:t>
            </w:r>
            <w:proofErr w:type="spellStart"/>
            <w:r w:rsidRPr="00904E24">
              <w:rPr>
                <w:sz w:val="23"/>
                <w:szCs w:val="23"/>
              </w:rPr>
              <w:t>preveniranje</w:t>
            </w:r>
            <w:proofErr w:type="spellEnd"/>
            <w:r w:rsidRPr="00904E24">
              <w:rPr>
                <w:sz w:val="23"/>
                <w:szCs w:val="23"/>
              </w:rPr>
              <w:t xml:space="preserve"> i/ili sankcioniranje problema u ponašanju i u učenju.  </w:t>
            </w:r>
          </w:p>
          <w:p w14:paraId="6D8111C3" w14:textId="493D42FE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29DA205D" w14:textId="77777777" w:rsidTr="002A45F3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A5F3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30185565" w14:textId="77777777" w:rsidR="004834C9" w:rsidRPr="002A45F3" w:rsidRDefault="004834C9" w:rsidP="004834C9">
      <w:pPr>
        <w:rPr>
          <w:rFonts w:ascii="Arial" w:hAnsi="Arial" w:cs="Arial"/>
        </w:rPr>
      </w:pPr>
    </w:p>
    <w:p w14:paraId="3090D3B7" w14:textId="77777777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825" w:type="dxa"/>
        <w:jc w:val="center"/>
        <w:tblLook w:val="04A0" w:firstRow="1" w:lastRow="0" w:firstColumn="1" w:lastColumn="0" w:noHBand="0" w:noVBand="1"/>
      </w:tblPr>
      <w:tblGrid>
        <w:gridCol w:w="1745"/>
        <w:gridCol w:w="1403"/>
        <w:gridCol w:w="1097"/>
        <w:gridCol w:w="1460"/>
        <w:gridCol w:w="1268"/>
        <w:gridCol w:w="1268"/>
        <w:gridCol w:w="1584"/>
      </w:tblGrid>
      <w:tr w:rsidR="004834C9" w:rsidRPr="002A45F3" w14:paraId="367DB6E2" w14:textId="77777777" w:rsidTr="00C613BF">
        <w:trPr>
          <w:trHeight w:val="564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F16ED0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6D8FB4F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D1EC4B2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6CAD7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4478F0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8474030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07624D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F7016CF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A27E0B6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E473F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541C05E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52EE5FCF" w14:textId="77777777" w:rsidTr="006246BB">
        <w:trPr>
          <w:trHeight w:val="282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C2B0" w14:textId="42A527CE" w:rsidR="004834C9" w:rsidRPr="0052223E" w:rsidRDefault="0052223E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Podizanje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kvalitete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života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školovanja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učenika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s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posebnim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odgojno-</w:t>
            </w:r>
            <w:r w:rsidRPr="0052223E">
              <w:rPr>
                <w:rFonts w:ascii="Calibri" w:hAnsi="Calibri" w:cs="Calibri"/>
                <w:lang w:val="en-GB" w:eastAsia="en-GB"/>
              </w:rPr>
              <w:lastRenderedPageBreak/>
              <w:t>obrazovnim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potrebama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sustavu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redovitog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osnovnog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školovanja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, </w:t>
            </w:r>
            <w:r w:rsidRPr="0052223E">
              <w:rPr>
                <w:rFonts w:ascii="Calibri" w:hAnsi="Calibri" w:cs="Calibri"/>
                <w:lang w:val="en-GB" w:eastAsia="en-GB"/>
              </w:rPr>
              <w:br/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te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pomoć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podrška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djeci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razvoju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pozitivnih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modela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ponašanja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putem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razvoja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socijalnih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komunikacijskih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vještina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.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Omogućuje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gramStart"/>
            <w:r w:rsidRPr="0052223E">
              <w:rPr>
                <w:rFonts w:ascii="Calibri" w:hAnsi="Calibri" w:cs="Calibri"/>
                <w:lang w:val="en-GB" w:eastAsia="en-GB"/>
              </w:rPr>
              <w:t xml:space="preserve">se 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podrška</w:t>
            </w:r>
            <w:proofErr w:type="spellEnd"/>
            <w:proofErr w:type="gram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učenicima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njihovim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obiteljima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9176" w14:textId="3EE4D5CE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 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Inkluzivnim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obrazovanjem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raste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broj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učenika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s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teškoća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u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razvoju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koji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se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uključuju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u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lastRenderedPageBreak/>
              <w:t>redovne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škole.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Učenicima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s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teškoćama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potrebna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je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pravovaljana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dijagnostika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kontinuirano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praćenje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stručne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osobe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. Stručni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suradnik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pomaže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učeniku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s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teškoćama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kako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bi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lakše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usvajao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nastavi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sadržaj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razvijao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socijalizacijske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vještine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te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se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uspiješno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integrirao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u </w:t>
            </w:r>
            <w:proofErr w:type="spellStart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zajednicu</w:t>
            </w:r>
            <w:proofErr w:type="spellEnd"/>
            <w:r w:rsidR="0052223E"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2633" w14:textId="70016743" w:rsidR="004834C9" w:rsidRPr="002A45F3" w:rsidRDefault="0052223E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lastRenderedPageBreak/>
              <w:t xml:space="preserve">Stručni </w:t>
            </w:r>
            <w:proofErr w:type="spellStart"/>
            <w:r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suradnik</w:t>
            </w:r>
            <w:proofErr w:type="spellEnd"/>
            <w:r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/ </w:t>
            </w:r>
            <w:proofErr w:type="spellStart"/>
            <w:r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broj</w:t>
            </w:r>
            <w:proofErr w:type="spellEnd"/>
            <w:r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učenika</w:t>
            </w:r>
            <w:proofErr w:type="spellEnd"/>
            <w:r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 xml:space="preserve"> s </w:t>
            </w:r>
            <w:proofErr w:type="spellStart"/>
            <w:r w:rsidRPr="00DC3AAC">
              <w:rPr>
                <w:rFonts w:ascii="Calibri" w:hAnsi="Calibri" w:cs="Calibri"/>
                <w:sz w:val="18"/>
                <w:szCs w:val="18"/>
                <w:lang w:val="en-GB" w:eastAsia="en-GB"/>
              </w:rPr>
              <w:t>teškoćama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2D32" w14:textId="36521CAB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52223E">
              <w:rPr>
                <w:rFonts w:ascii="Arial" w:eastAsia="Times New Roman" w:hAnsi="Arial" w:cs="Arial"/>
                <w:color w:val="000000"/>
                <w:lang w:eastAsia="hr-HR"/>
              </w:rPr>
              <w:t>1/19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B99E" w14:textId="2629FF32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52223E">
              <w:rPr>
                <w:rFonts w:ascii="Arial" w:eastAsia="Times New Roman" w:hAnsi="Arial" w:cs="Arial"/>
                <w:color w:val="000000"/>
                <w:lang w:eastAsia="hr-HR"/>
              </w:rPr>
              <w:t>1/19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D629" w14:textId="382E1B23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52223E">
              <w:rPr>
                <w:rFonts w:ascii="Arial" w:eastAsia="Times New Roman" w:hAnsi="Arial" w:cs="Arial"/>
                <w:color w:val="000000"/>
                <w:lang w:eastAsia="hr-HR"/>
              </w:rPr>
              <w:t>1/18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0D52A" w14:textId="29D449A2" w:rsidR="004834C9" w:rsidRPr="002A45F3" w:rsidRDefault="0052223E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1/18</w:t>
            </w:r>
          </w:p>
        </w:tc>
      </w:tr>
      <w:tr w:rsidR="004834C9" w:rsidRPr="002A45F3" w14:paraId="6561A707" w14:textId="77777777" w:rsidTr="006246BB">
        <w:trPr>
          <w:trHeight w:val="282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E60D8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ED5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04A79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F2A0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C8E7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D2B85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B72D7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35A3ED08" w14:textId="77777777" w:rsidTr="006246BB">
        <w:trPr>
          <w:trHeight w:val="282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19A5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1EC1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4AFD9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FA97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35C5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781EA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F9C17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6CC91B1A" w14:textId="77777777" w:rsidR="004834C9" w:rsidRPr="002A45F3" w:rsidRDefault="004834C9" w:rsidP="004834C9">
      <w:pPr>
        <w:rPr>
          <w:rFonts w:ascii="Arial" w:hAnsi="Arial" w:cs="Arial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7A13765C" w14:textId="77777777" w:rsidTr="00C613BF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21B46B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ASISTENT U NASTAVI</w:t>
            </w:r>
          </w:p>
        </w:tc>
      </w:tr>
      <w:tr w:rsidR="004834C9" w:rsidRPr="002A45F3" w14:paraId="30E7622E" w14:textId="77777777" w:rsidTr="002A45F3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EB86" w14:textId="77777777" w:rsidR="0052223E" w:rsidRPr="0052223E" w:rsidRDefault="0052223E" w:rsidP="0052223E">
            <w:pPr>
              <w:spacing w:after="20" w:line="256" w:lineRule="auto"/>
              <w:jc w:val="both"/>
              <w:rPr>
                <w:rFonts w:cstheme="minorHAnsi"/>
              </w:rPr>
            </w:pPr>
            <w:r w:rsidRPr="0052223E">
              <w:rPr>
                <w:rFonts w:cstheme="minorHAnsi"/>
              </w:rPr>
              <w:t xml:space="preserve">Asistent u nastavi, oblik je podrške učenicima s posebnim obrazovnim potrebama koji su uključeni u redovan sustav odgoja i obrazovanja. Asistent u nastavi direktno radi u nastavi i predstavlja podršku:  </w:t>
            </w:r>
          </w:p>
          <w:p w14:paraId="70F336D0" w14:textId="77777777" w:rsidR="0052223E" w:rsidRPr="0052223E" w:rsidRDefault="0052223E" w:rsidP="0052223E">
            <w:pPr>
              <w:numPr>
                <w:ilvl w:val="0"/>
                <w:numId w:val="13"/>
              </w:numPr>
              <w:spacing w:after="59" w:line="240" w:lineRule="auto"/>
              <w:ind w:hanging="360"/>
              <w:rPr>
                <w:rFonts w:cstheme="minorHAnsi"/>
              </w:rPr>
            </w:pPr>
            <w:r w:rsidRPr="0052223E">
              <w:rPr>
                <w:rFonts w:cstheme="minorHAnsi"/>
              </w:rPr>
              <w:t xml:space="preserve">učeniku s posebnim potrebama (za uključivanje u razred, savladavanje socijalno-psiholoških prepreka) </w:t>
            </w:r>
          </w:p>
          <w:p w14:paraId="3D8AC02D" w14:textId="77777777" w:rsidR="0052223E" w:rsidRPr="0052223E" w:rsidRDefault="0052223E" w:rsidP="0052223E">
            <w:pPr>
              <w:numPr>
                <w:ilvl w:val="0"/>
                <w:numId w:val="13"/>
              </w:numPr>
              <w:spacing w:after="5" w:line="315" w:lineRule="auto"/>
              <w:ind w:hanging="360"/>
              <w:rPr>
                <w:rFonts w:cstheme="minorHAnsi"/>
              </w:rPr>
            </w:pPr>
            <w:r w:rsidRPr="0052223E">
              <w:rPr>
                <w:rFonts w:cstheme="minorHAnsi"/>
              </w:rPr>
              <w:t xml:space="preserve">učitelju i drugim stručnjacima (kreiranje ciljeva, zajednička izrada individualnog plana rada s učenikom, realizacija planiranog s učiteljima i drugim stručnjacima direktnim radom s učenikom, povratna informacija...) </w:t>
            </w:r>
          </w:p>
          <w:p w14:paraId="0EFB4682" w14:textId="77777777" w:rsidR="0052223E" w:rsidRPr="0052223E" w:rsidRDefault="0052223E" w:rsidP="0052223E">
            <w:pPr>
              <w:numPr>
                <w:ilvl w:val="0"/>
                <w:numId w:val="13"/>
              </w:numPr>
              <w:spacing w:after="0" w:line="240" w:lineRule="auto"/>
              <w:ind w:hanging="360"/>
              <w:rPr>
                <w:rFonts w:cstheme="minorHAnsi"/>
              </w:rPr>
            </w:pPr>
            <w:r w:rsidRPr="0052223E">
              <w:rPr>
                <w:rFonts w:cstheme="minorHAnsi"/>
              </w:rPr>
              <w:t xml:space="preserve">kurikulumu ( u skladu sa sposobnostima učenika) </w:t>
            </w:r>
          </w:p>
          <w:p w14:paraId="58CC99A1" w14:textId="77777777" w:rsidR="0052223E" w:rsidRPr="0052223E" w:rsidRDefault="0052223E" w:rsidP="0052223E">
            <w:pPr>
              <w:numPr>
                <w:ilvl w:val="0"/>
                <w:numId w:val="13"/>
              </w:numPr>
              <w:spacing w:after="0" w:line="296" w:lineRule="auto"/>
              <w:ind w:hanging="360"/>
              <w:rPr>
                <w:rFonts w:cstheme="minorHAnsi"/>
              </w:rPr>
            </w:pPr>
            <w:r w:rsidRPr="0052223E">
              <w:rPr>
                <w:rFonts w:cstheme="minorHAnsi"/>
              </w:rPr>
              <w:t xml:space="preserve">školi (rad u timu, sudjelovanje u životu škole, poznavanje pravila u školi)  Svaki asistent prolazi edukaciju organiziranu od strane stručnog tima Udruge «IDEM»  (kasnije Centra za edukacijsku </w:t>
            </w:r>
            <w:proofErr w:type="spellStart"/>
            <w:r w:rsidRPr="0052223E">
              <w:rPr>
                <w:rFonts w:cstheme="minorHAnsi"/>
              </w:rPr>
              <w:t>inkluziju</w:t>
            </w:r>
            <w:proofErr w:type="spellEnd"/>
            <w:r w:rsidRPr="0052223E">
              <w:rPr>
                <w:rFonts w:cstheme="minorHAnsi"/>
              </w:rPr>
              <w:t xml:space="preserve">) i to:  </w:t>
            </w:r>
          </w:p>
          <w:p w14:paraId="3C2E9C5E" w14:textId="77777777" w:rsidR="0052223E" w:rsidRPr="0052223E" w:rsidRDefault="0052223E" w:rsidP="0052223E">
            <w:pPr>
              <w:numPr>
                <w:ilvl w:val="0"/>
                <w:numId w:val="13"/>
              </w:numPr>
              <w:spacing w:after="50" w:line="240" w:lineRule="auto"/>
              <w:ind w:hanging="360"/>
              <w:rPr>
                <w:rFonts w:cstheme="minorHAnsi"/>
              </w:rPr>
            </w:pPr>
            <w:r w:rsidRPr="0052223E">
              <w:rPr>
                <w:rFonts w:cstheme="minorHAnsi"/>
              </w:rPr>
              <w:t xml:space="preserve">uvodni seminar (najmanje 5 sati) </w:t>
            </w:r>
          </w:p>
          <w:p w14:paraId="633184AF" w14:textId="77777777" w:rsidR="0052223E" w:rsidRPr="0052223E" w:rsidRDefault="0052223E" w:rsidP="0052223E">
            <w:pPr>
              <w:numPr>
                <w:ilvl w:val="0"/>
                <w:numId w:val="13"/>
              </w:numPr>
              <w:spacing w:after="0" w:line="240" w:lineRule="auto"/>
              <w:ind w:hanging="360"/>
              <w:rPr>
                <w:rFonts w:cstheme="minorHAnsi"/>
              </w:rPr>
            </w:pPr>
            <w:r w:rsidRPr="0052223E">
              <w:rPr>
                <w:rFonts w:cstheme="minorHAnsi"/>
              </w:rPr>
              <w:t xml:space="preserve">učenje iz literature </w:t>
            </w:r>
          </w:p>
          <w:p w14:paraId="7DBC12CD" w14:textId="77777777" w:rsidR="0052223E" w:rsidRPr="0052223E" w:rsidRDefault="0052223E" w:rsidP="0052223E">
            <w:pPr>
              <w:numPr>
                <w:ilvl w:val="0"/>
                <w:numId w:val="13"/>
              </w:numPr>
              <w:spacing w:after="51" w:line="240" w:lineRule="auto"/>
              <w:ind w:hanging="360"/>
              <w:rPr>
                <w:rFonts w:cstheme="minorHAnsi"/>
              </w:rPr>
            </w:pPr>
            <w:r w:rsidRPr="0052223E">
              <w:rPr>
                <w:rFonts w:cstheme="minorHAnsi"/>
              </w:rPr>
              <w:t xml:space="preserve">sudjeluje na edukacijama koje provodi MST u školi </w:t>
            </w:r>
          </w:p>
          <w:p w14:paraId="332A2B86" w14:textId="77777777" w:rsidR="0052223E" w:rsidRPr="0052223E" w:rsidRDefault="0052223E" w:rsidP="0052223E">
            <w:pPr>
              <w:numPr>
                <w:ilvl w:val="0"/>
                <w:numId w:val="13"/>
              </w:numPr>
              <w:spacing w:after="3" w:line="240" w:lineRule="auto"/>
              <w:ind w:hanging="360"/>
              <w:rPr>
                <w:rFonts w:cstheme="minorHAnsi"/>
              </w:rPr>
            </w:pPr>
            <w:r w:rsidRPr="0052223E">
              <w:rPr>
                <w:rFonts w:cstheme="minorHAnsi"/>
              </w:rPr>
              <w:t xml:space="preserve">učenje putem praćenja zajedničkog rada učitelja, koordinatora i drugih stručnjaka škole </w:t>
            </w:r>
          </w:p>
          <w:p w14:paraId="73D480A1" w14:textId="77777777" w:rsidR="0052223E" w:rsidRPr="0052223E" w:rsidRDefault="0052223E" w:rsidP="0052223E">
            <w:pPr>
              <w:numPr>
                <w:ilvl w:val="0"/>
                <w:numId w:val="13"/>
              </w:numPr>
              <w:spacing w:after="39" w:line="240" w:lineRule="auto"/>
              <w:ind w:hanging="360"/>
              <w:rPr>
                <w:rFonts w:cstheme="minorHAnsi"/>
              </w:rPr>
            </w:pPr>
            <w:r w:rsidRPr="0052223E">
              <w:rPr>
                <w:rFonts w:cstheme="minorHAnsi"/>
              </w:rPr>
              <w:t xml:space="preserve">skupna supervizija  </w:t>
            </w:r>
          </w:p>
          <w:p w14:paraId="3A578F3C" w14:textId="77777777" w:rsidR="0052223E" w:rsidRPr="0052223E" w:rsidRDefault="0052223E" w:rsidP="0052223E">
            <w:pPr>
              <w:spacing w:line="254" w:lineRule="auto"/>
              <w:rPr>
                <w:rFonts w:cstheme="minorHAnsi"/>
              </w:rPr>
            </w:pPr>
            <w:r w:rsidRPr="0052223E">
              <w:rPr>
                <w:rFonts w:cstheme="minorHAnsi"/>
              </w:rPr>
              <w:t xml:space="preserve">Asistent u nastavi direktno radi s učenikom po 4 sata dnevno, 5 dana u tjednu (ukupno 20 sati tjedno) u razrednoj nastavi te 5 sati dnevno, 5 dana u tjednu (ukupno 25 sati) u predmetnoj nastavi.  </w:t>
            </w:r>
          </w:p>
          <w:p w14:paraId="57B0B39D" w14:textId="10428F57" w:rsidR="004834C9" w:rsidRPr="0052223E" w:rsidRDefault="0052223E" w:rsidP="0052223E">
            <w:pPr>
              <w:rPr>
                <w:rFonts w:cstheme="minorHAnsi"/>
              </w:rPr>
            </w:pPr>
            <w:r w:rsidRPr="0052223E">
              <w:rPr>
                <w:rFonts w:cstheme="minorHAnsi"/>
              </w:rPr>
              <w:t>Troškove provedbe projekta (financiranje rada asistenta) pokrivena su dijelom iz sredstava EU dijelom od Osnivača.</w:t>
            </w:r>
            <w:r>
              <w:rPr>
                <w:rFonts w:cstheme="minorHAnsi"/>
              </w:rPr>
              <w:t xml:space="preserve"> </w:t>
            </w:r>
            <w:r w:rsidRPr="0052223E">
              <w:rPr>
                <w:rFonts w:cstheme="minorHAnsi"/>
              </w:rPr>
              <w:t>Prema novom pravilniku koji je stupio na snagu 2024. godine, svi asistenti će biti zaposlenik</w:t>
            </w:r>
            <w:r>
              <w:rPr>
                <w:rFonts w:cstheme="minorHAnsi"/>
              </w:rPr>
              <w:t xml:space="preserve"> </w:t>
            </w:r>
            <w:r w:rsidRPr="0052223E">
              <w:rPr>
                <w:rFonts w:cstheme="minorHAnsi"/>
              </w:rPr>
              <w:t>tijekom cijele godine, bez prekida ugovora o radu tijekom ljeta.</w:t>
            </w:r>
            <w:r>
              <w:rPr>
                <w:rFonts w:cstheme="minorHAnsi"/>
              </w:rPr>
              <w:t xml:space="preserve"> U osnovnoj školi Marina Getaldića u 2025./2026. godini ima zaposlenih pet pomoćnika u nastavi. </w:t>
            </w:r>
          </w:p>
        </w:tc>
      </w:tr>
      <w:tr w:rsidR="004834C9" w:rsidRPr="002A45F3" w14:paraId="366E0C0F" w14:textId="77777777" w:rsidTr="002A45F3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57E0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36D17391" w14:textId="77777777" w:rsidR="004834C9" w:rsidRPr="002A45F3" w:rsidRDefault="004834C9" w:rsidP="004834C9">
      <w:pPr>
        <w:rPr>
          <w:rFonts w:ascii="Arial" w:hAnsi="Arial" w:cs="Arial"/>
        </w:rPr>
      </w:pPr>
    </w:p>
    <w:p w14:paraId="1C4B4C88" w14:textId="77777777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825" w:type="dxa"/>
        <w:jc w:val="center"/>
        <w:tblLook w:val="04A0" w:firstRow="1" w:lastRow="0" w:firstColumn="1" w:lastColumn="0" w:noHBand="0" w:noVBand="1"/>
      </w:tblPr>
      <w:tblGrid>
        <w:gridCol w:w="1433"/>
        <w:gridCol w:w="1588"/>
        <w:gridCol w:w="1181"/>
        <w:gridCol w:w="1460"/>
        <w:gridCol w:w="1268"/>
        <w:gridCol w:w="1268"/>
        <w:gridCol w:w="1627"/>
      </w:tblGrid>
      <w:tr w:rsidR="004834C9" w:rsidRPr="002A45F3" w14:paraId="5087EFE2" w14:textId="77777777" w:rsidTr="00C613BF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FC3C27E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lastRenderedPageBreak/>
              <w:t>Pokazatelj</w:t>
            </w:r>
          </w:p>
          <w:p w14:paraId="64092161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D527CA0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083DFA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E2858EC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CE8196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F23125B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83FEA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5CD4574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EE457D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5EC97C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52223E" w:rsidRPr="002A45F3" w14:paraId="02D9E2B8" w14:textId="77777777" w:rsidTr="006246BB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20E8" w14:textId="442D90A0" w:rsidR="0052223E" w:rsidRPr="0052223E" w:rsidRDefault="0052223E" w:rsidP="00522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Učenici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koji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uspiješno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funkcioniraju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školskom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okruženju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ostvaraju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kontakt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s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drugim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učenicima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odgojno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obrazovnim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djeltanicima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.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Učenici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kontinuirano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usvajaju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nastavni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plan i program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predviđen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njihovom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uzrastu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.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0C5F" w14:textId="07E9A434" w:rsidR="0052223E" w:rsidRPr="0052223E" w:rsidRDefault="0052223E" w:rsidP="00522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Pomoćnik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nastavi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oblik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je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podrške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učenicima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s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teškoćama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razvoju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 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koji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su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uključeni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redovan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sustav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odgoja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obrazovanja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.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Pomoćnik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nastavi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pomaže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učeniku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kako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bi se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uspiješno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integrirao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školsko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okruženje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52CE" w14:textId="294D08ED" w:rsidR="0052223E" w:rsidRPr="0052223E" w:rsidRDefault="0052223E" w:rsidP="00522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Broj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učenika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s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teškoćama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razvoju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kojima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je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potreban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pomoćnik</w:t>
            </w:r>
            <w:proofErr w:type="spellEnd"/>
            <w:r w:rsidRPr="0052223E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2223E">
              <w:rPr>
                <w:rFonts w:ascii="Calibri" w:hAnsi="Calibri" w:cs="Calibri"/>
                <w:lang w:val="en-GB" w:eastAsia="en-GB"/>
              </w:rPr>
              <w:t>nastavi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8ED0" w14:textId="7A12A3B3" w:rsidR="0052223E" w:rsidRPr="002A45F3" w:rsidRDefault="0052223E" w:rsidP="00522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A391" w14:textId="4107E649" w:rsidR="0052223E" w:rsidRPr="002A45F3" w:rsidRDefault="0052223E" w:rsidP="00522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E1FF" w14:textId="381F1219" w:rsidR="0052223E" w:rsidRPr="002A45F3" w:rsidRDefault="0052223E" w:rsidP="00522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B1D5" w14:textId="1B061D87" w:rsidR="0052223E" w:rsidRPr="002A45F3" w:rsidRDefault="0052223E" w:rsidP="00522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</w:p>
        </w:tc>
      </w:tr>
    </w:tbl>
    <w:p w14:paraId="0F0834F8" w14:textId="7860AB30" w:rsidR="004834C9" w:rsidRDefault="004834C9" w:rsidP="004834C9">
      <w:pPr>
        <w:rPr>
          <w:rFonts w:ascii="Arial" w:hAnsi="Arial" w:cs="Arial"/>
        </w:rPr>
      </w:pPr>
    </w:p>
    <w:p w14:paraId="2F9455F6" w14:textId="68B28C37" w:rsidR="006246BB" w:rsidRDefault="006246BB" w:rsidP="004834C9">
      <w:pPr>
        <w:rPr>
          <w:rFonts w:ascii="Arial" w:hAnsi="Arial" w:cs="Arial"/>
        </w:rPr>
      </w:pPr>
    </w:p>
    <w:p w14:paraId="24BA0F9F" w14:textId="10F600FC" w:rsidR="006246BB" w:rsidRDefault="006246BB" w:rsidP="004834C9">
      <w:pPr>
        <w:rPr>
          <w:rFonts w:ascii="Arial" w:hAnsi="Arial" w:cs="Arial"/>
        </w:rPr>
      </w:pPr>
    </w:p>
    <w:p w14:paraId="48907C31" w14:textId="69F949ED" w:rsidR="006246BB" w:rsidRDefault="006246BB" w:rsidP="004834C9">
      <w:pPr>
        <w:rPr>
          <w:rFonts w:ascii="Arial" w:hAnsi="Arial" w:cs="Arial"/>
        </w:rPr>
      </w:pPr>
    </w:p>
    <w:p w14:paraId="1B95F90B" w14:textId="637FDCB5" w:rsidR="006246BB" w:rsidRDefault="006246BB" w:rsidP="004834C9">
      <w:pPr>
        <w:rPr>
          <w:rFonts w:ascii="Arial" w:hAnsi="Arial" w:cs="Arial"/>
        </w:rPr>
      </w:pPr>
    </w:p>
    <w:p w14:paraId="3B42F10F" w14:textId="1226961B" w:rsidR="006246BB" w:rsidRDefault="006246BB" w:rsidP="004834C9">
      <w:pPr>
        <w:rPr>
          <w:rFonts w:ascii="Arial" w:hAnsi="Arial" w:cs="Arial"/>
        </w:rPr>
      </w:pPr>
    </w:p>
    <w:p w14:paraId="6D59527D" w14:textId="16BE6698" w:rsidR="006246BB" w:rsidRDefault="006246BB" w:rsidP="004834C9">
      <w:pPr>
        <w:rPr>
          <w:rFonts w:ascii="Arial" w:hAnsi="Arial" w:cs="Arial"/>
        </w:rPr>
      </w:pPr>
    </w:p>
    <w:p w14:paraId="21729F53" w14:textId="4556FF48" w:rsidR="006246BB" w:rsidRDefault="006246BB" w:rsidP="004834C9">
      <w:pPr>
        <w:rPr>
          <w:rFonts w:ascii="Arial" w:hAnsi="Arial" w:cs="Arial"/>
        </w:rPr>
      </w:pPr>
    </w:p>
    <w:p w14:paraId="358C359D" w14:textId="5EF19450" w:rsidR="006246BB" w:rsidRDefault="006246BB" w:rsidP="004834C9">
      <w:pPr>
        <w:rPr>
          <w:rFonts w:ascii="Arial" w:hAnsi="Arial" w:cs="Arial"/>
        </w:rPr>
      </w:pPr>
    </w:p>
    <w:p w14:paraId="04159E99" w14:textId="77777777" w:rsidR="006246BB" w:rsidRPr="002A45F3" w:rsidRDefault="006246BB" w:rsidP="004834C9">
      <w:pPr>
        <w:rPr>
          <w:rFonts w:ascii="Arial" w:hAnsi="Arial" w:cs="Arial"/>
        </w:rPr>
      </w:pPr>
    </w:p>
    <w:p w14:paraId="54914C36" w14:textId="65258D28" w:rsidR="00D554AF" w:rsidRPr="002A45F3" w:rsidRDefault="00D554AF" w:rsidP="004834C9">
      <w:pPr>
        <w:rPr>
          <w:rFonts w:ascii="Arial" w:hAnsi="Arial" w:cs="Arial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0A3099BA" w14:textId="77777777" w:rsidTr="00C613BF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C97F96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NABAVA ŠKOLSKIH UDŽBENIKA</w:t>
            </w:r>
          </w:p>
        </w:tc>
      </w:tr>
      <w:tr w:rsidR="0052223E" w:rsidRPr="002A45F3" w14:paraId="07A6DB6E" w14:textId="77777777" w:rsidTr="002A45F3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2E32" w14:textId="2C2BFFAF" w:rsidR="0052223E" w:rsidRPr="0052223E" w:rsidRDefault="0052223E" w:rsidP="005222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2223E">
              <w:rPr>
                <w:rFonts w:cstheme="minorHAnsi"/>
                <w:color w:val="000000" w:themeColor="text1"/>
              </w:rPr>
              <w:t xml:space="preserve">Ministarstvo znanosti, obrazovanja i mladih financira nabavu školskih udžbenika (NN 116/18) za sve učenike od 1. do 8. razreda osnovne škole. Udžbenici se osiguravaju kao dio nacionalne politike jednakog pristupa obrazovanju, s ciljem rasterećenja roditelja, osiguravanja jednakih uvjeta za sve učenike te podrška obrazovnim reformama. </w:t>
            </w:r>
          </w:p>
        </w:tc>
      </w:tr>
      <w:tr w:rsidR="0052223E" w:rsidRPr="002A45F3" w14:paraId="616B1476" w14:textId="77777777" w:rsidTr="002A45F3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C555" w14:textId="77777777" w:rsidR="0052223E" w:rsidRPr="002A45F3" w:rsidRDefault="0052223E" w:rsidP="005222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63FCD0C0" w14:textId="77777777" w:rsidR="004834C9" w:rsidRPr="002A45F3" w:rsidRDefault="004834C9" w:rsidP="004834C9">
      <w:pPr>
        <w:rPr>
          <w:rFonts w:ascii="Arial" w:hAnsi="Arial" w:cs="Arial"/>
          <w:b/>
        </w:rPr>
      </w:pPr>
    </w:p>
    <w:p w14:paraId="1DED0017" w14:textId="77777777" w:rsidR="0052223E" w:rsidRDefault="0052223E" w:rsidP="004834C9">
      <w:pPr>
        <w:rPr>
          <w:rFonts w:ascii="Arial" w:hAnsi="Arial" w:cs="Arial"/>
          <w:b/>
        </w:rPr>
      </w:pPr>
    </w:p>
    <w:p w14:paraId="74E14670" w14:textId="1489752B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 xml:space="preserve">Pokazatelji rezultata </w:t>
      </w:r>
    </w:p>
    <w:tbl>
      <w:tblPr>
        <w:tblW w:w="9825" w:type="dxa"/>
        <w:jc w:val="center"/>
        <w:tblLook w:val="04A0" w:firstRow="1" w:lastRow="0" w:firstColumn="1" w:lastColumn="0" w:noHBand="0" w:noVBand="1"/>
      </w:tblPr>
      <w:tblGrid>
        <w:gridCol w:w="1433"/>
        <w:gridCol w:w="1588"/>
        <w:gridCol w:w="1097"/>
        <w:gridCol w:w="1460"/>
        <w:gridCol w:w="1268"/>
        <w:gridCol w:w="1268"/>
        <w:gridCol w:w="1711"/>
      </w:tblGrid>
      <w:tr w:rsidR="004834C9" w:rsidRPr="002A45F3" w14:paraId="39A4B27C" w14:textId="77777777" w:rsidTr="00C613BF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1583E16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31528E2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7248F44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98F6E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7452AA6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82129F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10114252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29EE21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0A10D2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826E9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FDA02A8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4834C9" w:rsidRPr="002A45F3" w14:paraId="30EB8C49" w14:textId="77777777" w:rsidTr="006246BB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1583" w14:textId="4CFF152A" w:rsidR="004834C9" w:rsidRPr="002A45F3" w:rsidRDefault="0052223E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8040B">
              <w:rPr>
                <w:i/>
              </w:rPr>
              <w:lastRenderedPageBreak/>
              <w:t>Pravodobno osigurati udžbenike svim učenicima osnovnih škola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33F5" w14:textId="670EEB71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52223E" w:rsidRPr="0058040B">
              <w:rPr>
                <w:i/>
              </w:rPr>
              <w:t>Jednak pristup obrazovanju za sve uz rasterećenje roditelja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111A" w14:textId="19166CB6" w:rsidR="004834C9" w:rsidRPr="0052223E" w:rsidRDefault="0052223E" w:rsidP="00D51E7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52223E">
              <w:rPr>
                <w:rFonts w:eastAsia="Times New Roman" w:cstheme="minorHAnsi"/>
                <w:i/>
                <w:color w:val="000000"/>
                <w:lang w:eastAsia="hr-HR"/>
              </w:rPr>
              <w:t>Broj učenika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D6C7" w14:textId="27ED32D9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6246BB">
              <w:rPr>
                <w:rFonts w:ascii="Arial" w:eastAsia="Times New Roman" w:hAnsi="Arial" w:cs="Arial"/>
                <w:color w:val="000000"/>
                <w:lang w:eastAsia="hr-HR"/>
              </w:rPr>
              <w:t>297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350" w14:textId="123673E3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6246BB">
              <w:rPr>
                <w:rFonts w:ascii="Arial" w:eastAsia="Times New Roman" w:hAnsi="Arial" w:cs="Arial"/>
                <w:color w:val="000000"/>
                <w:lang w:eastAsia="hr-HR"/>
              </w:rPr>
              <w:t>279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640A5" w14:textId="19890DCB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6246BB">
              <w:rPr>
                <w:rFonts w:ascii="Arial" w:eastAsia="Times New Roman" w:hAnsi="Arial" w:cs="Arial"/>
                <w:color w:val="000000"/>
                <w:lang w:eastAsia="hr-HR"/>
              </w:rPr>
              <w:t>280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D6B4" w14:textId="692D0D04" w:rsidR="004834C9" w:rsidRPr="002A45F3" w:rsidRDefault="006246BB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285</w:t>
            </w:r>
          </w:p>
        </w:tc>
      </w:tr>
      <w:tr w:rsidR="004834C9" w:rsidRPr="002A45F3" w14:paraId="40DD5DF7" w14:textId="77777777" w:rsidTr="006246BB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9EA4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D66A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7C5E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1682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7CE1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47CC3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30115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1443FFB9" w14:textId="77777777" w:rsidTr="006246BB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AB6A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04E8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C0E00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E80C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EA39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9930E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B4DC9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0FB61EAC" w14:textId="77777777" w:rsidR="004834C9" w:rsidRPr="002A45F3" w:rsidRDefault="004834C9" w:rsidP="004834C9">
      <w:pPr>
        <w:rPr>
          <w:rFonts w:ascii="Arial" w:hAnsi="Arial" w:cs="Arial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5AEECA68" w14:textId="77777777" w:rsidTr="00C613BF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C36461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SHEMA ŠKOLSKOG VOĆA</w:t>
            </w:r>
          </w:p>
        </w:tc>
      </w:tr>
      <w:tr w:rsidR="004834C9" w:rsidRPr="002A45F3" w14:paraId="174EC75F" w14:textId="77777777" w:rsidTr="002A45F3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0FA2" w14:textId="77777777" w:rsidR="0052223E" w:rsidRPr="00904E24" w:rsidRDefault="0052223E" w:rsidP="0052223E">
            <w:pPr>
              <w:spacing w:after="30" w:line="258" w:lineRule="auto"/>
              <w:rPr>
                <w:sz w:val="23"/>
                <w:szCs w:val="23"/>
              </w:rPr>
            </w:pPr>
            <w:r w:rsidRPr="00904E24">
              <w:t xml:space="preserve">Republika Hrvatska od 2013. godine po principima Europske unije provodi Školsku shemu kao mjeru namijenjenu učenicima osnovnih i srednjih škola u svrhu:  </w:t>
            </w:r>
          </w:p>
          <w:p w14:paraId="10ADB26A" w14:textId="77777777" w:rsidR="0052223E" w:rsidRPr="00904E24" w:rsidRDefault="0052223E" w:rsidP="0052223E">
            <w:pPr>
              <w:numPr>
                <w:ilvl w:val="0"/>
                <w:numId w:val="14"/>
              </w:numPr>
              <w:spacing w:after="29" w:line="318" w:lineRule="auto"/>
              <w:rPr>
                <w:sz w:val="23"/>
                <w:szCs w:val="23"/>
              </w:rPr>
            </w:pPr>
            <w:r w:rsidRPr="00904E24">
              <w:t xml:space="preserve">promoviranja zdrave prehrambene navike s ciljem povećanja udjela voća i povrća, mlijeka i mliječnih proizvoda u svakodnevnoj prehrani kako bi se spriječila debljina i bolesti uzrokovane neadekvatnom prehranom u dječjoj dobi,  </w:t>
            </w:r>
          </w:p>
          <w:p w14:paraId="72A249F2" w14:textId="77777777" w:rsidR="0052223E" w:rsidRPr="00904E24" w:rsidRDefault="0052223E" w:rsidP="0052223E">
            <w:pPr>
              <w:numPr>
                <w:ilvl w:val="0"/>
                <w:numId w:val="14"/>
              </w:numPr>
              <w:spacing w:after="97" w:line="240" w:lineRule="auto"/>
              <w:rPr>
                <w:sz w:val="23"/>
                <w:szCs w:val="23"/>
              </w:rPr>
            </w:pPr>
            <w:r w:rsidRPr="00904E24">
              <w:t xml:space="preserve">oblikovanja prehrambenih navika djece i ograničenja unosa hrane s visokim sadržajem masti, šećera i soli,  </w:t>
            </w:r>
          </w:p>
          <w:p w14:paraId="56FBC704" w14:textId="6D2EB43C" w:rsidR="0052223E" w:rsidRPr="00904E24" w:rsidRDefault="0052223E" w:rsidP="0052223E">
            <w:pPr>
              <w:numPr>
                <w:ilvl w:val="0"/>
                <w:numId w:val="14"/>
              </w:numPr>
              <w:spacing w:after="54" w:line="316" w:lineRule="auto"/>
              <w:rPr>
                <w:sz w:val="23"/>
                <w:szCs w:val="23"/>
              </w:rPr>
            </w:pPr>
            <w:r w:rsidRPr="00904E24">
              <w:t>omogućavanja školskoj djeci dodatnog obroka svježeg voća ili povrća, mlijeka ili mliječnih proizvoda. Školska shema u školskoj godini 202</w:t>
            </w:r>
            <w:r>
              <w:t>5.</w:t>
            </w:r>
            <w:r w:rsidRPr="00904E24">
              <w:t>/202</w:t>
            </w:r>
            <w:r>
              <w:t>6</w:t>
            </w:r>
            <w:r w:rsidRPr="00904E24">
              <w:t xml:space="preserve"> se provodi jednako na području čitave Republike Hrvatske sukladno Pravilniku o Školskoj shemi voća i povrća te mlijeka i mliječnih proizvoda (Narodne novine broj 69/2018). </w:t>
            </w:r>
          </w:p>
          <w:p w14:paraId="18B1E65D" w14:textId="746F4ECB" w:rsidR="0052223E" w:rsidRPr="00904E24" w:rsidRDefault="0052223E" w:rsidP="00541EF4">
            <w:pPr>
              <w:spacing w:line="278" w:lineRule="auto"/>
              <w:rPr>
                <w:sz w:val="23"/>
                <w:szCs w:val="23"/>
              </w:rPr>
            </w:pPr>
            <w:r w:rsidRPr="00904E24">
              <w:t xml:space="preserve">Interes za iskazivanje sudjelovanja u Shemi iskazuje osnivač školske ustanove, te odobrena sredstva raspodjeljuje po školskim ustanovama prema broju učenika upisanih u e-maticu MZO-a z školsku godinu, a potom sklapa ugovor sa školskom ustanovom kojoj je osnivač. </w:t>
            </w:r>
          </w:p>
          <w:p w14:paraId="7BDF3D65" w14:textId="77777777" w:rsidR="0052223E" w:rsidRPr="00904E24" w:rsidRDefault="0052223E" w:rsidP="0052223E">
            <w:pPr>
              <w:spacing w:line="245" w:lineRule="auto"/>
              <w:rPr>
                <w:sz w:val="23"/>
                <w:szCs w:val="23"/>
              </w:rPr>
            </w:pPr>
            <w:r w:rsidRPr="00904E24">
              <w:t xml:space="preserve">U okviru Školske sheme voće,  u našoj ustanovi učenicima  se nudi zaseban obrok voća neovisno od obroka u okviru školske prehrane, kontinuirano kroz cijelu školsku godinu jedan put tjedno. Sredstva za ovu namjenu osigurava  Grad Dubrovnik, putem EU fondova. </w:t>
            </w:r>
          </w:p>
          <w:p w14:paraId="15D7EA93" w14:textId="75FE60EA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6379DF3A" w14:textId="77777777" w:rsidTr="002A45F3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434E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55759062" w14:textId="77777777" w:rsidR="004834C9" w:rsidRPr="002A45F3" w:rsidRDefault="004834C9" w:rsidP="004834C9">
      <w:pPr>
        <w:rPr>
          <w:rFonts w:ascii="Arial" w:hAnsi="Arial" w:cs="Arial"/>
        </w:rPr>
      </w:pPr>
    </w:p>
    <w:p w14:paraId="1A30D10D" w14:textId="41F2495F" w:rsidR="004834C9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Pokazatelji rezultata</w:t>
      </w:r>
    </w:p>
    <w:p w14:paraId="06F59297" w14:textId="77777777" w:rsidR="006246BB" w:rsidRPr="002A45F3" w:rsidRDefault="006246BB" w:rsidP="004834C9">
      <w:pPr>
        <w:rPr>
          <w:rFonts w:ascii="Arial" w:hAnsi="Arial" w:cs="Arial"/>
          <w:b/>
        </w:rPr>
      </w:pPr>
    </w:p>
    <w:tbl>
      <w:tblPr>
        <w:tblW w:w="9836" w:type="dxa"/>
        <w:jc w:val="center"/>
        <w:tblLook w:val="04A0" w:firstRow="1" w:lastRow="0" w:firstColumn="1" w:lastColumn="0" w:noHBand="0" w:noVBand="1"/>
      </w:tblPr>
      <w:tblGrid>
        <w:gridCol w:w="1498"/>
        <w:gridCol w:w="1588"/>
        <w:gridCol w:w="1097"/>
        <w:gridCol w:w="1460"/>
        <w:gridCol w:w="1268"/>
        <w:gridCol w:w="1268"/>
        <w:gridCol w:w="1657"/>
      </w:tblGrid>
      <w:tr w:rsidR="004834C9" w:rsidRPr="002A45F3" w14:paraId="04478DBF" w14:textId="77777777" w:rsidTr="00C613BF">
        <w:trPr>
          <w:trHeight w:val="564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DD0A43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bookmarkStart w:id="12" w:name="_Hlk208304162"/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28385FD8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5C1AC1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F411A0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54F91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5E502FC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DB03B4B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DF5322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5E85239B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B3CC7F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0B9002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541EF4" w:rsidRPr="002A45F3" w14:paraId="035FC61B" w14:textId="77777777" w:rsidTr="006246BB">
        <w:trPr>
          <w:trHeight w:val="28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8711" w14:textId="33B289C0" w:rsidR="00541EF4" w:rsidRPr="00541EF4" w:rsidRDefault="00541EF4" w:rsidP="0054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proofErr w:type="gramStart"/>
            <w:r w:rsidRPr="00541EF4">
              <w:rPr>
                <w:rFonts w:ascii="Calibri" w:hAnsi="Calibri" w:cs="Calibri"/>
                <w:lang w:val="en-GB" w:eastAsia="en-GB"/>
              </w:rPr>
              <w:t>Stvaranje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 i</w:t>
            </w:r>
            <w:proofErr w:type="gram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jačanje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zdravih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prehrambenih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navika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kod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djece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>.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773B" w14:textId="053BA899" w:rsidR="00541EF4" w:rsidRPr="00541EF4" w:rsidRDefault="00541EF4" w:rsidP="0054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41EF4">
              <w:rPr>
                <w:rFonts w:ascii="Calibri" w:hAnsi="Calibri" w:cs="Calibri"/>
                <w:lang w:val="en-GB" w:eastAsia="en-GB"/>
              </w:rPr>
              <w:t xml:space="preserve">Shema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školog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voća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omogućuje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promoviranja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zdravih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prehrambenih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navika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s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ciljem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povećanja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udjela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voća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povrća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,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mlijeka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mliječnih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proizvoda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svakodnevnoj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prehrani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kako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r w:rsidRPr="00541EF4">
              <w:rPr>
                <w:rFonts w:ascii="Calibri" w:hAnsi="Calibri" w:cs="Calibri"/>
                <w:lang w:val="en-GB" w:eastAsia="en-GB"/>
              </w:rPr>
              <w:lastRenderedPageBreak/>
              <w:t xml:space="preserve">bi se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spriječila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debljina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i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bolesti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uzrokovane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neadekvatnom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prehranom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u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dječjoj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541EF4">
              <w:rPr>
                <w:rFonts w:ascii="Calibri" w:hAnsi="Calibri" w:cs="Calibri"/>
                <w:lang w:val="en-GB" w:eastAsia="en-GB"/>
              </w:rPr>
              <w:t>dobi</w:t>
            </w:r>
            <w:proofErr w:type="spellEnd"/>
            <w:r w:rsidRPr="00541EF4">
              <w:rPr>
                <w:rFonts w:ascii="Calibri" w:hAnsi="Calibri" w:cs="Calibri"/>
                <w:lang w:val="en-GB" w:eastAsia="en-GB"/>
              </w:rPr>
              <w:t>.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4A0D63" w14:textId="5CBFA6BC" w:rsidR="00541EF4" w:rsidRPr="002A45F3" w:rsidRDefault="00541EF4" w:rsidP="0054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DC3AAC">
              <w:rPr>
                <w:rFonts w:ascii="Calibri" w:hAnsi="Calibri" w:cs="Calibri"/>
                <w:lang w:val="en-GB" w:eastAsia="en-GB"/>
              </w:rPr>
              <w:lastRenderedPageBreak/>
              <w:t>Broj</w:t>
            </w:r>
            <w:proofErr w:type="spellEnd"/>
            <w:r w:rsidRPr="00DC3AAC">
              <w:rPr>
                <w:rFonts w:ascii="Calibri" w:hAnsi="Calibri" w:cs="Calibri"/>
                <w:lang w:val="en-GB" w:eastAsia="en-GB"/>
              </w:rPr>
              <w:t xml:space="preserve"> </w:t>
            </w:r>
            <w:proofErr w:type="spellStart"/>
            <w:r w:rsidRPr="00DC3AAC">
              <w:rPr>
                <w:rFonts w:ascii="Calibri" w:hAnsi="Calibri" w:cs="Calibri"/>
                <w:lang w:val="en-GB" w:eastAsia="en-GB"/>
              </w:rPr>
              <w:t>učenika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9203" w14:textId="1BA4ECA3" w:rsidR="00541EF4" w:rsidRPr="002A45F3" w:rsidRDefault="00541EF4" w:rsidP="0054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6246BB">
              <w:rPr>
                <w:rFonts w:ascii="Arial" w:eastAsia="Times New Roman" w:hAnsi="Arial" w:cs="Arial"/>
                <w:color w:val="000000"/>
                <w:lang w:eastAsia="hr-HR"/>
              </w:rPr>
              <w:t>297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7175" w14:textId="154E81F7" w:rsidR="00541EF4" w:rsidRPr="002A45F3" w:rsidRDefault="00541EF4" w:rsidP="0054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6246BB">
              <w:rPr>
                <w:rFonts w:ascii="Arial" w:eastAsia="Times New Roman" w:hAnsi="Arial" w:cs="Arial"/>
                <w:color w:val="000000"/>
                <w:lang w:eastAsia="hr-HR"/>
              </w:rPr>
              <w:t>279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4C59" w14:textId="3F322C26" w:rsidR="00541EF4" w:rsidRPr="002A45F3" w:rsidRDefault="00541EF4" w:rsidP="0054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6246BB">
              <w:rPr>
                <w:rFonts w:ascii="Arial" w:eastAsia="Times New Roman" w:hAnsi="Arial" w:cs="Arial"/>
                <w:color w:val="000000"/>
                <w:lang w:eastAsia="hr-HR"/>
              </w:rPr>
              <w:t>280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F10A" w14:textId="6411FB88" w:rsidR="00541EF4" w:rsidRPr="002A45F3" w:rsidRDefault="006246BB" w:rsidP="0054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285</w:t>
            </w:r>
          </w:p>
        </w:tc>
      </w:tr>
      <w:bookmarkEnd w:id="12"/>
    </w:tbl>
    <w:p w14:paraId="2542EAA0" w14:textId="1686609D" w:rsidR="004834C9" w:rsidRPr="002A45F3" w:rsidRDefault="004834C9" w:rsidP="004834C9">
      <w:pPr>
        <w:rPr>
          <w:rFonts w:ascii="Arial" w:hAnsi="Arial" w:cs="Arial"/>
        </w:rPr>
      </w:pPr>
    </w:p>
    <w:p w14:paraId="58B23977" w14:textId="77777777" w:rsidR="004834C9" w:rsidRPr="002A45F3" w:rsidRDefault="004834C9" w:rsidP="004834C9">
      <w:pPr>
        <w:rPr>
          <w:rFonts w:ascii="Arial" w:hAnsi="Arial" w:cs="Arial"/>
          <w:b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43B9C69F" w14:textId="77777777" w:rsidTr="00C613BF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536E42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PREHRANA ZA UČENIKE U OSNOVNIM ŠKOLAMA</w:t>
            </w:r>
          </w:p>
        </w:tc>
      </w:tr>
      <w:tr w:rsidR="004834C9" w:rsidRPr="002A45F3" w14:paraId="795CDB86" w14:textId="77777777" w:rsidTr="002A45F3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68A7" w14:textId="77777777" w:rsidR="00541EF4" w:rsidRPr="00541EF4" w:rsidRDefault="00541EF4" w:rsidP="00541EF4">
            <w:pPr>
              <w:spacing w:after="0"/>
              <w:ind w:right="51"/>
              <w:jc w:val="both"/>
              <w:rPr>
                <w:color w:val="000000" w:themeColor="text1"/>
                <w:lang w:eastAsia="hr-HR"/>
              </w:rPr>
            </w:pPr>
            <w:r w:rsidRPr="00541EF4">
              <w:rPr>
                <w:color w:val="000000" w:themeColor="text1"/>
                <w:lang w:eastAsia="hr-HR"/>
              </w:rPr>
              <w:t>Projekt prehrane u osnovnim školama provodi se s ciljem osiguravanja redovitih, nutritivno uravnoteženih i zdravstveno ispravnih obroka za učenike, u skladu s važećim prehrambenim i pedagoškim standardima. Prehrana u školi predstavlja važan dio ukupne skrbi o učenicima i izravno doprinosi njihovom zdravlju, uspjehu u učenju i svakodnevnom funkcioniranju tijekom nastave.</w:t>
            </w:r>
          </w:p>
          <w:p w14:paraId="14DEBE9D" w14:textId="77777777" w:rsidR="00541EF4" w:rsidRPr="00541EF4" w:rsidRDefault="00541EF4" w:rsidP="00541EF4">
            <w:pPr>
              <w:spacing w:after="0"/>
              <w:ind w:right="51"/>
              <w:jc w:val="both"/>
              <w:rPr>
                <w:color w:val="000000" w:themeColor="text1"/>
                <w:lang w:eastAsia="hr-HR"/>
              </w:rPr>
            </w:pPr>
            <w:r w:rsidRPr="00541EF4">
              <w:rPr>
                <w:color w:val="000000" w:themeColor="text1"/>
                <w:lang w:eastAsia="hr-HR"/>
              </w:rPr>
              <w:t xml:space="preserve">Školska prehrana provodi se kroz pripremu i distribuciju toplih i hladnih obroka, najčešće užina i/ili ručka, ovisno o organizaciji škole i vremenu boravka učenika. Jelovnici se kreiraju uz stručno vodstvo, vodeći računa o nutritivnim vrijednostima, energetskim potrebama učenika različitih dobnih skupina, kao i o specifičnim prehrambenim potrebama (alergije, </w:t>
            </w:r>
            <w:proofErr w:type="spellStart"/>
            <w:r w:rsidRPr="00541EF4">
              <w:rPr>
                <w:color w:val="000000" w:themeColor="text1"/>
                <w:lang w:eastAsia="hr-HR"/>
              </w:rPr>
              <w:t>intolerancije</w:t>
            </w:r>
            <w:proofErr w:type="spellEnd"/>
            <w:r w:rsidRPr="00541EF4">
              <w:rPr>
                <w:color w:val="000000" w:themeColor="text1"/>
                <w:lang w:eastAsia="hr-HR"/>
              </w:rPr>
              <w:t>, medicinske dijete).</w:t>
            </w:r>
          </w:p>
          <w:p w14:paraId="4905AA23" w14:textId="40434EBF" w:rsidR="004834C9" w:rsidRPr="00541EF4" w:rsidRDefault="00541EF4" w:rsidP="00541E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41EF4">
              <w:rPr>
                <w:rFonts w:eastAsia="Times New Roman" w:cstheme="minorHAnsi"/>
                <w:color w:val="000000" w:themeColor="text1"/>
                <w:lang w:eastAsia="hr-HR"/>
              </w:rPr>
              <w:t>Osim zdravstvene komponente, školska prehrana ima i važnu odgojnu funkciju – učenici razvijaju svijest o zdravim prehrambenim navikama, higijeni i kulturi prehrane. Program doprinosi i socijalnoj pravednosti jer se omogućava besplatan ili subvencioniran obrok učenicima iz obitelji slabijeg socioekonomskog statusa.</w:t>
            </w:r>
          </w:p>
        </w:tc>
      </w:tr>
      <w:tr w:rsidR="004834C9" w:rsidRPr="002A45F3" w14:paraId="1C9C5D06" w14:textId="77777777" w:rsidTr="002A45F3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A993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35A962F5" w14:textId="77777777" w:rsidR="004834C9" w:rsidRPr="002A45F3" w:rsidRDefault="004834C9" w:rsidP="004834C9">
      <w:pPr>
        <w:rPr>
          <w:rFonts w:ascii="Arial" w:hAnsi="Arial" w:cs="Arial"/>
          <w:b/>
        </w:rPr>
      </w:pPr>
    </w:p>
    <w:p w14:paraId="3E461830" w14:textId="77777777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825" w:type="dxa"/>
        <w:jc w:val="center"/>
        <w:tblLook w:val="04A0" w:firstRow="1" w:lastRow="0" w:firstColumn="1" w:lastColumn="0" w:noHBand="0" w:noVBand="1"/>
      </w:tblPr>
      <w:tblGrid>
        <w:gridCol w:w="1433"/>
        <w:gridCol w:w="1588"/>
        <w:gridCol w:w="1097"/>
        <w:gridCol w:w="1460"/>
        <w:gridCol w:w="1268"/>
        <w:gridCol w:w="1268"/>
        <w:gridCol w:w="1711"/>
      </w:tblGrid>
      <w:tr w:rsidR="004834C9" w:rsidRPr="002A45F3" w14:paraId="6BC37DB5" w14:textId="77777777" w:rsidTr="00C613BF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21AB258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7538A9B1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9D2CF5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68B63D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7240B2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CC3AC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1F7777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AF49FB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8B5E0AD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79130E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3DCE17F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6246BB" w:rsidRPr="002A45F3" w14:paraId="0229A1BA" w14:textId="77777777" w:rsidTr="006246BB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67EA" w14:textId="1A1F0F3F" w:rsidR="006246BB" w:rsidRPr="002A45F3" w:rsidRDefault="006246BB" w:rsidP="00624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i/>
              </w:rPr>
              <w:t xml:space="preserve">Jednaka dostupnost zdravog obroka svim učenicima </w:t>
            </w:r>
            <w:r w:rsidRPr="0058040B">
              <w:rPr>
                <w:i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49DC" w14:textId="5F076488" w:rsidR="006246BB" w:rsidRPr="002A45F3" w:rsidRDefault="006246BB" w:rsidP="00624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i/>
              </w:rPr>
              <w:t xml:space="preserve">Podržavanje ciljeva škole: zdravlje, jednakost, navike.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4C32" w14:textId="39A893AB" w:rsidR="006246BB" w:rsidRPr="002A45F3" w:rsidRDefault="006246BB" w:rsidP="00624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8040B">
              <w:rPr>
                <w:i/>
              </w:rPr>
              <w:t>Broj učenika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FABE" w14:textId="6DE4BBCB" w:rsidR="006246BB" w:rsidRPr="002A45F3" w:rsidRDefault="006246BB" w:rsidP="00624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297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5065" w14:textId="3F353E54" w:rsidR="006246BB" w:rsidRPr="002A45F3" w:rsidRDefault="006246BB" w:rsidP="00624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279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18D3" w14:textId="5CA4CD80" w:rsidR="006246BB" w:rsidRPr="002A45F3" w:rsidRDefault="006246BB" w:rsidP="00624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280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F9DE" w14:textId="479D7486" w:rsidR="006246BB" w:rsidRPr="002A45F3" w:rsidRDefault="006246BB" w:rsidP="00624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285</w:t>
            </w:r>
          </w:p>
        </w:tc>
      </w:tr>
    </w:tbl>
    <w:p w14:paraId="4D4CE63F" w14:textId="7B686DC1" w:rsidR="004834C9" w:rsidRPr="002A45F3" w:rsidRDefault="004834C9" w:rsidP="004834C9">
      <w:pPr>
        <w:rPr>
          <w:rFonts w:ascii="Arial" w:hAnsi="Arial" w:cs="Arial"/>
        </w:rPr>
      </w:pPr>
    </w:p>
    <w:p w14:paraId="70478131" w14:textId="1678BE2D" w:rsidR="00C94AF1" w:rsidRPr="002A45F3" w:rsidRDefault="00C94AF1" w:rsidP="004834C9">
      <w:pPr>
        <w:rPr>
          <w:rFonts w:ascii="Arial" w:hAnsi="Arial" w:cs="Arial"/>
        </w:rPr>
      </w:pPr>
    </w:p>
    <w:p w14:paraId="58BACEDD" w14:textId="119EE55B" w:rsidR="00C94AF1" w:rsidRPr="002A45F3" w:rsidRDefault="00C94AF1" w:rsidP="004834C9">
      <w:pPr>
        <w:rPr>
          <w:rFonts w:ascii="Arial" w:hAnsi="Arial" w:cs="Arial"/>
        </w:rPr>
      </w:pPr>
    </w:p>
    <w:p w14:paraId="593C1F63" w14:textId="728D0B74" w:rsidR="00C45D1E" w:rsidRPr="002A45F3" w:rsidRDefault="00C45D1E" w:rsidP="004834C9">
      <w:pPr>
        <w:rPr>
          <w:rFonts w:ascii="Arial" w:hAnsi="Arial" w:cs="Arial"/>
        </w:rPr>
      </w:pPr>
    </w:p>
    <w:p w14:paraId="3DFC852F" w14:textId="77777777" w:rsidR="00C45D1E" w:rsidRPr="002A45F3" w:rsidRDefault="00C45D1E" w:rsidP="00C45D1E">
      <w:pPr>
        <w:rPr>
          <w:rFonts w:ascii="Arial" w:hAnsi="Arial" w:cs="Arial"/>
        </w:rPr>
      </w:pPr>
    </w:p>
    <w:p w14:paraId="3713A212" w14:textId="238AFA1B" w:rsidR="00C45D1E" w:rsidRDefault="00C45D1E" w:rsidP="00C45D1E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OBRAZLOŽENJE PROGRAMA</w:t>
      </w:r>
    </w:p>
    <w:p w14:paraId="77C111F6" w14:textId="77777777" w:rsidR="00514E8C" w:rsidRPr="00514E8C" w:rsidRDefault="00514E8C" w:rsidP="00514E8C">
      <w:pPr>
        <w:pStyle w:val="Odlomakpopisa"/>
        <w:spacing w:after="0"/>
        <w:rPr>
          <w:rFonts w:ascii="Arial" w:hAnsi="Arial" w:cs="Arial"/>
          <w:b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2013"/>
      </w:tblGrid>
      <w:tr w:rsidR="00C94AF1" w:rsidRPr="002A45F3" w14:paraId="43CAFC7B" w14:textId="77777777" w:rsidTr="002A45F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3A60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3983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0BC818C1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6681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0AEB13CC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1DAC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641E7" w14:textId="77777777" w:rsidR="00C94AF1" w:rsidRPr="002A45F3" w:rsidRDefault="00C94AF1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C94AF1" w:rsidRPr="002A45F3" w14:paraId="5B31899A" w14:textId="77777777" w:rsidTr="002A45F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88DF6" w14:textId="77777777" w:rsidR="00C94AF1" w:rsidRPr="002A45F3" w:rsidRDefault="00C94AF1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18056 KAPITALNO ULAGANJE U ŠKOLSTVO-MINIMALNI FINANCIJSKI STANDARD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B0C28" w14:textId="7B0E56DC" w:rsidR="00C94AF1" w:rsidRPr="002A45F3" w:rsidRDefault="006246BB" w:rsidP="00A37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E22B0" w14:textId="4D8BEE3D" w:rsidR="00C94AF1" w:rsidRPr="002A45F3" w:rsidRDefault="006246BB" w:rsidP="00A37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590B4" w14:textId="666A0FAE" w:rsidR="00C94AF1" w:rsidRPr="002A45F3" w:rsidRDefault="006246BB" w:rsidP="00A37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D3045" w14:textId="6128AE77" w:rsidR="00C94AF1" w:rsidRPr="002A45F3" w:rsidRDefault="006246BB" w:rsidP="00A37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</w:tr>
    </w:tbl>
    <w:p w14:paraId="7DB3F86C" w14:textId="77777777" w:rsidR="00C94AF1" w:rsidRPr="002A45F3" w:rsidRDefault="00C94AF1" w:rsidP="004834C9">
      <w:pPr>
        <w:rPr>
          <w:rFonts w:ascii="Arial" w:hAnsi="Arial" w:cs="Arial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53214118" w14:textId="77777777" w:rsidTr="00C613BF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1A29DD73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bookmarkStart w:id="13" w:name="_Hlk207802792"/>
            <w:r w:rsidRPr="002A45F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lastRenderedPageBreak/>
              <w:t xml:space="preserve">PROGRAM: 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Program 18056 KAPITALNO ULAGANJE U ŠKOLSTVO-MINIMALNI FINANCIJSKI STANDARD</w:t>
            </w:r>
          </w:p>
        </w:tc>
      </w:tr>
      <w:tr w:rsidR="004834C9" w:rsidRPr="002A45F3" w14:paraId="588614CC" w14:textId="77777777" w:rsidTr="002A45F3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B1806" w14:textId="5E228B8F" w:rsidR="004834C9" w:rsidRDefault="004834C9" w:rsidP="00D51E7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213D49">
              <w:rPr>
                <w:rFonts w:eastAsia="Times New Roman" w:cstheme="minorHAnsi"/>
                <w:b/>
                <w:color w:val="000000"/>
                <w:lang w:eastAsia="hr-HR"/>
              </w:rPr>
              <w:t>Opis programa</w:t>
            </w:r>
            <w:r w:rsidRPr="00213D49">
              <w:rPr>
                <w:rFonts w:eastAsia="Times New Roman" w:cstheme="minorHAnsi"/>
                <w:color w:val="000000"/>
                <w:lang w:eastAsia="hr-HR"/>
              </w:rPr>
              <w:t>:</w:t>
            </w:r>
            <w:r w:rsidR="00213D49" w:rsidRPr="00213D49">
              <w:rPr>
                <w:rFonts w:cstheme="minorHAnsi"/>
              </w:rPr>
              <w:t xml:space="preserve"> </w:t>
            </w:r>
            <w:r w:rsidR="00213D49" w:rsidRPr="00213D49">
              <w:rPr>
                <w:rFonts w:eastAsia="Times New Roman" w:cstheme="minorHAnsi"/>
                <w:color w:val="000000"/>
                <w:lang w:eastAsia="hr-HR"/>
              </w:rPr>
              <w:t>U okviru 18056 – Kapitalno ulaganje u školstvo – Minimalni financijski standard, planira se nabava računalne, knjižn</w:t>
            </w:r>
            <w:r w:rsidR="00213D49">
              <w:rPr>
                <w:rFonts w:eastAsia="Times New Roman" w:cstheme="minorHAnsi"/>
                <w:color w:val="000000"/>
                <w:lang w:eastAsia="hr-HR"/>
              </w:rPr>
              <w:t xml:space="preserve">e i uredske opreme </w:t>
            </w:r>
            <w:r w:rsidR="00213D49" w:rsidRPr="00213D49">
              <w:rPr>
                <w:rFonts w:eastAsia="Times New Roman" w:cstheme="minorHAnsi"/>
                <w:color w:val="000000"/>
                <w:lang w:eastAsia="hr-HR"/>
              </w:rPr>
              <w:t xml:space="preserve">s ciljem modernizacije nastavnog procesa i unapređenja uvjeta rada u školi. Ulaganje obuhvaća kupnju prijenosnih računala za učionice i knjižnicu, školskih stolova i stolica za čitaonicu te dopunu knjižnog fonda novim </w:t>
            </w:r>
            <w:r w:rsidR="00213D49">
              <w:rPr>
                <w:rFonts w:eastAsia="Times New Roman" w:cstheme="minorHAnsi"/>
                <w:color w:val="000000"/>
                <w:lang w:eastAsia="hr-HR"/>
              </w:rPr>
              <w:t>potrebnim knjigama.</w:t>
            </w:r>
            <w:r w:rsidR="00213D49" w:rsidRPr="00213D49">
              <w:rPr>
                <w:rFonts w:eastAsia="Times New Roman" w:cstheme="minorHAnsi"/>
                <w:color w:val="000000"/>
                <w:lang w:eastAsia="hr-HR"/>
              </w:rPr>
              <w:t xml:space="preserve"> Ova ulaganja pridonose podizanju razine digitalne i informacijske pismenosti učenika, boljoj dostupnosti obrazovnih resursa te stvaranju poticajnog i funkcionalnog nastavnog okruženja, u skladu s važećim obrazovnim standardima i  zahtjevima. Navedena ulaganja provode se u okviru minimalnog financijskog standarda koji propisuje osnovne uvjete koje škole moraju ispunjavati kako bi se osigurala jednakost i dostupnost obrazovanja na području cijele Republike Hrvatske.</w:t>
            </w:r>
          </w:p>
          <w:p w14:paraId="0D289878" w14:textId="77777777" w:rsidR="00213D49" w:rsidRPr="00213D49" w:rsidRDefault="00213D49" w:rsidP="00D51E7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3658402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834C9" w:rsidRPr="002A45F3" w14:paraId="0EBF8EAB" w14:textId="77777777" w:rsidTr="002A45F3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8A84F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0B4BBC00" w14:textId="77777777" w:rsidR="00213D49" w:rsidRPr="00213D49" w:rsidRDefault="00213D49" w:rsidP="00213D49">
            <w:pPr>
              <w:rPr>
                <w:rFonts w:cstheme="minorHAnsi"/>
                <w:sz w:val="23"/>
                <w:szCs w:val="23"/>
              </w:rPr>
            </w:pPr>
            <w:r w:rsidRPr="00213D49">
              <w:rPr>
                <w:rFonts w:cstheme="minorHAnsi"/>
                <w:sz w:val="23"/>
                <w:szCs w:val="23"/>
              </w:rPr>
              <w:t xml:space="preserve">Zakon o odgoju i obrazovanju u osnovnoj i srednjoj školi (NN br. 87/08, 86/09., 92/10., 105/10., 90/11., 05/12., 16/12., 86/12., </w:t>
            </w:r>
          </w:p>
          <w:p w14:paraId="737815CD" w14:textId="77777777" w:rsidR="00213D49" w:rsidRPr="00213D49" w:rsidRDefault="00213D49" w:rsidP="00213D49">
            <w:pPr>
              <w:rPr>
                <w:rFonts w:cstheme="minorHAnsi"/>
                <w:sz w:val="23"/>
                <w:szCs w:val="23"/>
              </w:rPr>
            </w:pPr>
            <w:r w:rsidRPr="00213D49">
              <w:rPr>
                <w:rFonts w:cstheme="minorHAnsi"/>
                <w:sz w:val="23"/>
                <w:szCs w:val="23"/>
              </w:rPr>
              <w:t xml:space="preserve">126/12., 94/13. i 152/14., 07/17., 64/20) </w:t>
            </w:r>
          </w:p>
          <w:p w14:paraId="091BE8D3" w14:textId="490CB2E3" w:rsidR="004834C9" w:rsidRPr="002A45F3" w:rsidRDefault="00213D49" w:rsidP="00213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13D49">
              <w:rPr>
                <w:rFonts w:cstheme="minorHAnsi"/>
                <w:sz w:val="23"/>
                <w:szCs w:val="23"/>
              </w:rPr>
              <w:t>Poziv za predlaganje programa i projekata javnih potreba u predškolskom odgoju, osnovnom, srednjem i visokom školstvu Grada Dubrovnika za 2025. godinu</w:t>
            </w:r>
          </w:p>
        </w:tc>
      </w:tr>
      <w:tr w:rsidR="004834C9" w:rsidRPr="002A45F3" w14:paraId="3843B32F" w14:textId="77777777" w:rsidTr="002A45F3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D0E972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provedbe programa u razdoblju 2026.-2028.</w:t>
            </w:r>
          </w:p>
          <w:p w14:paraId="6CEC1738" w14:textId="1AB20F22" w:rsidR="004834C9" w:rsidRPr="002A45F3" w:rsidRDefault="00213D49" w:rsidP="00213D4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 w:rsidRPr="00213D49">
              <w:t>Poboljšanje uvjeta rada u postojećim objektima Osnovne škole Marina Getaldića, poboljšanje opremljenosti učionica i kabineta opremom, te oprema školske knjižnice novim knjigama</w:t>
            </w:r>
            <w:r>
              <w:rPr>
                <w:sz w:val="23"/>
                <w:szCs w:val="23"/>
              </w:rPr>
              <w:t xml:space="preserve">. </w:t>
            </w:r>
            <w:r w:rsidRPr="00904E24">
              <w:rPr>
                <w:sz w:val="23"/>
                <w:szCs w:val="23"/>
              </w:rPr>
              <w:t xml:space="preserve"> </w:t>
            </w:r>
          </w:p>
        </w:tc>
      </w:tr>
    </w:tbl>
    <w:p w14:paraId="183DE506" w14:textId="77777777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1987CD95" w14:textId="77777777" w:rsidR="004834C9" w:rsidRPr="002A45F3" w:rsidRDefault="004834C9" w:rsidP="004834C9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Procjena i ishodište potrebnih sredstava za aktivnosti/projekte unutar programa</w:t>
      </w:r>
    </w:p>
    <w:p w14:paraId="6A22D484" w14:textId="77777777" w:rsidR="004834C9" w:rsidRPr="002A45F3" w:rsidRDefault="004834C9" w:rsidP="004834C9">
      <w:pPr>
        <w:spacing w:after="0"/>
        <w:rPr>
          <w:rFonts w:ascii="Arial" w:hAnsi="Arial" w:cs="Arial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2013"/>
      </w:tblGrid>
      <w:tr w:rsidR="004834C9" w:rsidRPr="002A45F3" w14:paraId="1F4570FC" w14:textId="77777777" w:rsidTr="002A45F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A8C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2940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Tekući plan</w:t>
            </w:r>
          </w:p>
          <w:p w14:paraId="26AA23E4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98AC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Plan</w:t>
            </w:r>
          </w:p>
          <w:p w14:paraId="0500FD31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A33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2027.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2F3F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Projekcija 2028.</w:t>
            </w:r>
          </w:p>
        </w:tc>
      </w:tr>
      <w:tr w:rsidR="004834C9" w:rsidRPr="002A45F3" w14:paraId="0F37371C" w14:textId="77777777" w:rsidTr="002A45F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3901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 xml:space="preserve">K805602 ŠKOLSKA OPREMA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3C3D0" w14:textId="65FE9B81" w:rsidR="004834C9" w:rsidRPr="002A45F3" w:rsidRDefault="00213D49" w:rsidP="00D51E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E457" w14:textId="6B0AB618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213D49"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DF62" w14:textId="1DF15FDF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213D49"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D7D27" w14:textId="669F2BB3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="00213D49"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</w:tr>
      <w:tr w:rsidR="00213D49" w:rsidRPr="002A45F3" w14:paraId="5995C570" w14:textId="77777777" w:rsidTr="002A45F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9DCE6" w14:textId="77777777" w:rsidR="00213D49" w:rsidRPr="002A45F3" w:rsidRDefault="00213D49" w:rsidP="00213D4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C5872" w14:textId="23C94CF0" w:rsidR="00213D49" w:rsidRPr="002A45F3" w:rsidRDefault="00213D49" w:rsidP="00213D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9CEAD" w14:textId="7C995F9C" w:rsidR="00213D49" w:rsidRPr="002A45F3" w:rsidRDefault="00213D49" w:rsidP="00213D4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A4B3" w14:textId="4FC64804" w:rsidR="00213D49" w:rsidRPr="002A45F3" w:rsidRDefault="00213D49" w:rsidP="00213D4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D6FC5" w14:textId="2CA3F541" w:rsidR="00213D49" w:rsidRPr="002A45F3" w:rsidRDefault="00213D49" w:rsidP="00213D4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5.970</w:t>
            </w:r>
          </w:p>
        </w:tc>
      </w:tr>
    </w:tbl>
    <w:p w14:paraId="61C4309A" w14:textId="77777777" w:rsidR="004834C9" w:rsidRPr="002A45F3" w:rsidRDefault="004834C9" w:rsidP="004834C9">
      <w:pPr>
        <w:spacing w:after="0"/>
        <w:rPr>
          <w:rFonts w:ascii="Arial" w:hAnsi="Arial" w:cs="Arial"/>
          <w:b/>
        </w:rPr>
      </w:pPr>
    </w:p>
    <w:p w14:paraId="3E8978C2" w14:textId="77777777" w:rsidR="004834C9" w:rsidRPr="002A45F3" w:rsidRDefault="004834C9" w:rsidP="004834C9">
      <w:pPr>
        <w:spacing w:after="0"/>
        <w:rPr>
          <w:rFonts w:ascii="Arial" w:hAnsi="Arial" w:cs="Arial"/>
          <w:b/>
        </w:rPr>
      </w:pPr>
    </w:p>
    <w:p w14:paraId="3AEA8B22" w14:textId="77777777" w:rsidR="004834C9" w:rsidRPr="002A45F3" w:rsidRDefault="004834C9" w:rsidP="004834C9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</w:rPr>
      </w:pPr>
      <w:r w:rsidRPr="002A45F3">
        <w:rPr>
          <w:rFonts w:ascii="Arial" w:hAnsi="Arial" w:cs="Arial"/>
        </w:rPr>
        <w:t>U nastavku se za svaku aktivnost/projekt daje obrazloženje i definiraju pokazatelji rezultata:</w:t>
      </w:r>
    </w:p>
    <w:p w14:paraId="52E87D54" w14:textId="77777777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34C9" w:rsidRPr="002A45F3" w14:paraId="3B049BA2" w14:textId="77777777" w:rsidTr="00C613BF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1CE186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Naziv aktivnosti/projekta u Proračunu: </w:t>
            </w:r>
            <w:r w:rsidRPr="002A45F3">
              <w:rPr>
                <w:rFonts w:ascii="Arial" w:eastAsia="Times New Roman" w:hAnsi="Arial" w:cs="Arial"/>
                <w:color w:val="000000"/>
                <w:lang w:eastAsia="hr-HR"/>
              </w:rPr>
              <w:t>ŠKOLSKA OPREMA - MINIMALNI FINANCIJSKI STANDARD</w:t>
            </w:r>
          </w:p>
        </w:tc>
      </w:tr>
      <w:tr w:rsidR="004834C9" w:rsidRPr="002A45F3" w14:paraId="5E0BB87A" w14:textId="77777777" w:rsidTr="002A45F3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A72F" w14:textId="77777777" w:rsidR="00F15C9E" w:rsidRPr="00F15C9E" w:rsidRDefault="00F15C9E" w:rsidP="00F15C9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15C9E">
              <w:rPr>
                <w:rFonts w:eastAsia="Times New Roman" w:cstheme="minorHAnsi"/>
                <w:color w:val="000000"/>
                <w:lang w:eastAsia="hr-HR"/>
              </w:rPr>
              <w:t>"Školska oprema – Minimalni financijski standard" (MFS) odnosi se na zakonski i normativno propisani osnovni skup opreme i uvjeta koje svaka škola mora imati kako bi mogla normalno, sigurno i kvalitetno obavljati odgojno-obrazovnu djelatnost.</w:t>
            </w:r>
          </w:p>
          <w:p w14:paraId="10A6B049" w14:textId="77777777" w:rsidR="00F15C9E" w:rsidRPr="00F15C9E" w:rsidRDefault="00F15C9E" w:rsidP="00F15C9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AD37A68" w14:textId="65C59DE2" w:rsidR="004834C9" w:rsidRPr="00F15C9E" w:rsidRDefault="00F15C9E" w:rsidP="00F15C9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15C9E">
              <w:rPr>
                <w:rFonts w:eastAsia="Times New Roman" w:cstheme="minorHAnsi"/>
                <w:color w:val="000000"/>
                <w:lang w:eastAsia="hr-HR"/>
              </w:rPr>
              <w:t>To uključuje nužnu osnovnu opremu za učionice, kabinete, knjižnicu, sportsku dvoranu, informatičku opremu, namještaj te didaktičke i tehničke resurse potrebne za provedbu nastavnog plana i programa.</w:t>
            </w:r>
          </w:p>
        </w:tc>
      </w:tr>
      <w:tr w:rsidR="004834C9" w:rsidRPr="002A45F3" w14:paraId="5E147F0D" w14:textId="77777777" w:rsidTr="002A45F3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1237" w14:textId="77777777" w:rsidR="004834C9" w:rsidRPr="002A45F3" w:rsidRDefault="004834C9" w:rsidP="00D51E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535B02F8" w14:textId="77777777" w:rsidR="004834C9" w:rsidRPr="002A45F3" w:rsidRDefault="004834C9" w:rsidP="004834C9">
      <w:pPr>
        <w:rPr>
          <w:rFonts w:ascii="Arial" w:hAnsi="Arial" w:cs="Arial"/>
          <w:b/>
        </w:rPr>
      </w:pPr>
    </w:p>
    <w:p w14:paraId="658DCE7D" w14:textId="77777777" w:rsidR="004834C9" w:rsidRPr="002A45F3" w:rsidRDefault="004834C9" w:rsidP="004834C9">
      <w:pPr>
        <w:rPr>
          <w:rFonts w:ascii="Arial" w:hAnsi="Arial" w:cs="Arial"/>
          <w:b/>
        </w:rPr>
      </w:pPr>
      <w:r w:rsidRPr="002A45F3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825" w:type="dxa"/>
        <w:jc w:val="center"/>
        <w:tblLook w:val="04A0" w:firstRow="1" w:lastRow="0" w:firstColumn="1" w:lastColumn="0" w:noHBand="0" w:noVBand="1"/>
      </w:tblPr>
      <w:tblGrid>
        <w:gridCol w:w="1433"/>
        <w:gridCol w:w="1588"/>
        <w:gridCol w:w="1097"/>
        <w:gridCol w:w="1460"/>
        <w:gridCol w:w="1268"/>
        <w:gridCol w:w="1268"/>
        <w:gridCol w:w="1711"/>
      </w:tblGrid>
      <w:tr w:rsidR="004834C9" w:rsidRPr="002A45F3" w14:paraId="2839469F" w14:textId="77777777" w:rsidTr="00C613BF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C378EEB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4A728A5D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732E615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B1745D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CA1197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11A6B9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735CB04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BA410D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55E7F71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2027.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4BE53A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BA58702" w14:textId="77777777" w:rsidR="004834C9" w:rsidRPr="002A45F3" w:rsidRDefault="004834C9" w:rsidP="00D51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A45F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2028.</w:t>
            </w:r>
          </w:p>
        </w:tc>
      </w:tr>
      <w:tr w:rsidR="00F15C9E" w:rsidRPr="002A45F3" w14:paraId="0AD75D2E" w14:textId="77777777" w:rsidTr="00F15C9E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1502" w14:textId="188260C0" w:rsidR="00F15C9E" w:rsidRPr="0002735C" w:rsidRDefault="00F15C9E" w:rsidP="00F15C9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cstheme="minorHAnsi"/>
                <w:i/>
              </w:rPr>
              <w:t>Bolji uvjeti rada za učenike i zaposlenike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BFFF" w14:textId="42E09AA5" w:rsidR="00F15C9E" w:rsidRPr="0002735C" w:rsidRDefault="00F15C9E" w:rsidP="00F15C9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cstheme="minorHAnsi"/>
                <w:i/>
              </w:rPr>
              <w:t>Unaprijediti uvjete rada i učenja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846A" w14:textId="3D997ED0" w:rsidR="00F15C9E" w:rsidRPr="0002735C" w:rsidRDefault="00F15C9E" w:rsidP="00F15C9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cstheme="minorHAnsi"/>
                <w:i/>
              </w:rPr>
              <w:t>Broj učenika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83D7" w14:textId="6BCFF5A6" w:rsidR="00F15C9E" w:rsidRPr="0002735C" w:rsidRDefault="00F15C9E" w:rsidP="00F15C9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eastAsia="Times New Roman" w:cstheme="minorHAnsi"/>
                <w:i/>
                <w:color w:val="000000"/>
                <w:lang w:eastAsia="hr-HR"/>
              </w:rPr>
              <w:t> 297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A4D4" w14:textId="16E78A28" w:rsidR="00F15C9E" w:rsidRPr="0002735C" w:rsidRDefault="00F15C9E" w:rsidP="00F15C9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eastAsia="Times New Roman" w:cstheme="minorHAnsi"/>
                <w:i/>
                <w:color w:val="000000"/>
                <w:lang w:eastAsia="hr-HR"/>
              </w:rPr>
              <w:t> 279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104B2" w14:textId="0D83CDDC" w:rsidR="00F15C9E" w:rsidRPr="0002735C" w:rsidRDefault="00F15C9E" w:rsidP="00F15C9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eastAsia="Times New Roman" w:cstheme="minorHAnsi"/>
                <w:i/>
                <w:color w:val="000000"/>
                <w:lang w:eastAsia="hr-HR"/>
              </w:rPr>
              <w:t> 279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1CE5" w14:textId="4A6520F3" w:rsidR="00F15C9E" w:rsidRPr="0002735C" w:rsidRDefault="00F15C9E" w:rsidP="00F15C9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eastAsia="Times New Roman" w:cstheme="minorHAnsi"/>
                <w:i/>
                <w:color w:val="000000"/>
                <w:lang w:eastAsia="hr-HR"/>
              </w:rPr>
              <w:t>279</w:t>
            </w:r>
          </w:p>
        </w:tc>
      </w:tr>
      <w:tr w:rsidR="0002735C" w:rsidRPr="002A45F3" w14:paraId="6B58E1F9" w14:textId="77777777" w:rsidTr="00DE5158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54FA" w14:textId="2B6EB140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cstheme="minorHAnsi"/>
                <w:i/>
              </w:rPr>
              <w:t xml:space="preserve">Broj učionica opremljenih </w:t>
            </w:r>
            <w:r w:rsidRPr="0002735C">
              <w:rPr>
                <w:rFonts w:cstheme="minorHAnsi"/>
                <w:i/>
              </w:rPr>
              <w:lastRenderedPageBreak/>
              <w:t>novim namještajem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B531" w14:textId="27965569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cstheme="minorHAnsi"/>
                <w:i/>
              </w:rPr>
              <w:lastRenderedPageBreak/>
              <w:t xml:space="preserve">Ukupan broj učionica u kojima je </w:t>
            </w:r>
            <w:r w:rsidRPr="0002735C">
              <w:rPr>
                <w:rFonts w:cstheme="minorHAnsi"/>
                <w:i/>
              </w:rPr>
              <w:lastRenderedPageBreak/>
              <w:t>zamijenjen ili obnovljen namještaj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DF62" w14:textId="4D57618E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eastAsia="Times New Roman" w:cstheme="minorHAnsi"/>
                <w:i/>
                <w:color w:val="000000"/>
                <w:lang w:eastAsia="hr-HR"/>
              </w:rPr>
              <w:lastRenderedPageBreak/>
              <w:t>Broj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A77D" w14:textId="524F3460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4E09" w14:textId="6401C43B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F9120" w14:textId="398C1DA5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5B27" w14:textId="4EC159D2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1</w:t>
            </w:r>
          </w:p>
        </w:tc>
      </w:tr>
      <w:tr w:rsidR="0002735C" w:rsidRPr="002A45F3" w14:paraId="51373AF4" w14:textId="77777777" w:rsidTr="00DE5158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0292" w14:textId="08447EBC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cstheme="minorHAnsi"/>
                <w:i/>
              </w:rPr>
              <w:t>Broj nabavljenih knjiga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7148" w14:textId="19B6DC71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cstheme="minorHAnsi"/>
                <w:i/>
              </w:rPr>
              <w:t>Ukupan broj knjiga dodanih u školsku knjižnicu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BB39F" w14:textId="1733A109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eastAsia="Times New Roman" w:cstheme="minorHAnsi"/>
                <w:i/>
                <w:color w:val="000000"/>
                <w:lang w:eastAsia="hr-HR"/>
              </w:rPr>
              <w:t>Broj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93C9" w14:textId="56B2E3BA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4244" w14:textId="0179E8C6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DFAD" w14:textId="06B66ED2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>
              <w:rPr>
                <w:rFonts w:eastAsia="Times New Roman" w:cstheme="minorHAnsi"/>
                <w:i/>
                <w:color w:val="000000"/>
                <w:lang w:eastAsia="hr-HR"/>
              </w:rPr>
              <w:t>50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3D9CC" w14:textId="7C186F6D" w:rsidR="0002735C" w:rsidRPr="0002735C" w:rsidRDefault="0002735C" w:rsidP="0002735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735C">
              <w:rPr>
                <w:rFonts w:eastAsia="Times New Roman" w:cstheme="minorHAnsi"/>
                <w:i/>
                <w:color w:val="000000"/>
                <w:lang w:eastAsia="hr-HR"/>
              </w:rPr>
              <w:t>40</w:t>
            </w:r>
          </w:p>
        </w:tc>
      </w:tr>
    </w:tbl>
    <w:p w14:paraId="4EDD864B" w14:textId="3E4F701E" w:rsidR="004834C9" w:rsidRPr="002A45F3" w:rsidRDefault="004834C9" w:rsidP="004834C9">
      <w:pPr>
        <w:rPr>
          <w:rFonts w:ascii="Arial" w:hAnsi="Arial" w:cs="Arial"/>
        </w:rPr>
      </w:pPr>
    </w:p>
    <w:p w14:paraId="088D018C" w14:textId="15C3ACB3" w:rsidR="00C94AF1" w:rsidRPr="002A45F3" w:rsidRDefault="00C94AF1" w:rsidP="004834C9">
      <w:pPr>
        <w:rPr>
          <w:rFonts w:ascii="Arial" w:hAnsi="Arial" w:cs="Arial"/>
        </w:rPr>
      </w:pPr>
    </w:p>
    <w:p w14:paraId="48A419E0" w14:textId="7BB2EE1B" w:rsidR="00C94AF1" w:rsidRDefault="00C94AF1" w:rsidP="004834C9">
      <w:pPr>
        <w:rPr>
          <w:rFonts w:ascii="Arial" w:hAnsi="Arial" w:cs="Arial"/>
        </w:rPr>
      </w:pPr>
    </w:p>
    <w:p w14:paraId="5C55556A" w14:textId="77777777" w:rsidR="00514E8C" w:rsidRPr="002A45F3" w:rsidRDefault="00514E8C" w:rsidP="004834C9">
      <w:pPr>
        <w:rPr>
          <w:rFonts w:ascii="Arial" w:hAnsi="Arial" w:cs="Arial"/>
        </w:rPr>
      </w:pPr>
    </w:p>
    <w:bookmarkEnd w:id="11"/>
    <w:bookmarkEnd w:id="13"/>
    <w:p w14:paraId="1D363155" w14:textId="77777777" w:rsidR="004834C9" w:rsidRPr="002A45F3" w:rsidRDefault="004834C9" w:rsidP="004834C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0CB5FE07" w14:textId="77777777" w:rsidR="00F15C9E" w:rsidRPr="00F15C9E" w:rsidRDefault="00F15C9E" w:rsidP="00F15C9E">
      <w:pPr>
        <w:spacing w:after="0"/>
        <w:rPr>
          <w:rFonts w:ascii="Arial" w:hAnsi="Arial" w:cs="Arial"/>
          <w:b/>
        </w:rPr>
      </w:pPr>
    </w:p>
    <w:sectPr w:rsidR="00F15C9E" w:rsidRPr="00F15C9E" w:rsidSect="003E2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3610" w14:textId="77777777" w:rsidR="007A669B" w:rsidRDefault="007A669B" w:rsidP="00277E5E">
      <w:pPr>
        <w:spacing w:after="0" w:line="240" w:lineRule="auto"/>
      </w:pPr>
      <w:r>
        <w:separator/>
      </w:r>
    </w:p>
  </w:endnote>
  <w:endnote w:type="continuationSeparator" w:id="0">
    <w:p w14:paraId="66742DCF" w14:textId="77777777" w:rsidR="007A669B" w:rsidRDefault="007A669B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CE315" w14:textId="77777777" w:rsidR="007A669B" w:rsidRDefault="007A669B" w:rsidP="00277E5E">
      <w:pPr>
        <w:spacing w:after="0" w:line="240" w:lineRule="auto"/>
      </w:pPr>
      <w:r>
        <w:separator/>
      </w:r>
    </w:p>
  </w:footnote>
  <w:footnote w:type="continuationSeparator" w:id="0">
    <w:p w14:paraId="352A4F04" w14:textId="77777777" w:rsidR="007A669B" w:rsidRDefault="007A669B" w:rsidP="0027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6A9E"/>
    <w:multiLevelType w:val="hybridMultilevel"/>
    <w:tmpl w:val="136217B0"/>
    <w:lvl w:ilvl="0" w:tplc="F9364E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D3814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1F8B7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F823E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62AF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F4223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409A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76AF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F804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A1A9B"/>
    <w:multiLevelType w:val="multilevel"/>
    <w:tmpl w:val="B8BE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F286B"/>
    <w:multiLevelType w:val="hybridMultilevel"/>
    <w:tmpl w:val="76762D2E"/>
    <w:lvl w:ilvl="0" w:tplc="C4325D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8236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4DF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AB3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37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6A54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6AB4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EF2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DD6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3A6CA8"/>
    <w:multiLevelType w:val="hybridMultilevel"/>
    <w:tmpl w:val="77F46032"/>
    <w:lvl w:ilvl="0" w:tplc="DEC81A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0EAD2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467B6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128C5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56ED9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506C9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16C57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0002BA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2DFCC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D05584"/>
    <w:multiLevelType w:val="hybridMultilevel"/>
    <w:tmpl w:val="649C0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C661F"/>
    <w:multiLevelType w:val="multilevel"/>
    <w:tmpl w:val="E88E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7759CB"/>
    <w:multiLevelType w:val="hybridMultilevel"/>
    <w:tmpl w:val="FCA03AD0"/>
    <w:lvl w:ilvl="0" w:tplc="99AE3AD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0F1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E64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68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4A3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C71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088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062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A37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21EAD"/>
    <w:multiLevelType w:val="hybridMultilevel"/>
    <w:tmpl w:val="D906747C"/>
    <w:lvl w:ilvl="0" w:tplc="197AADF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032C3"/>
    <w:multiLevelType w:val="hybridMultilevel"/>
    <w:tmpl w:val="956CE0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4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224A3"/>
    <w:rsid w:val="0002735C"/>
    <w:rsid w:val="00034637"/>
    <w:rsid w:val="00040F64"/>
    <w:rsid w:val="00042ED2"/>
    <w:rsid w:val="000602DB"/>
    <w:rsid w:val="00074168"/>
    <w:rsid w:val="00081C3D"/>
    <w:rsid w:val="000B4AFB"/>
    <w:rsid w:val="000B7CD4"/>
    <w:rsid w:val="000C6247"/>
    <w:rsid w:val="001139A4"/>
    <w:rsid w:val="001171CD"/>
    <w:rsid w:val="00122BEF"/>
    <w:rsid w:val="001372BA"/>
    <w:rsid w:val="0014159D"/>
    <w:rsid w:val="001632BA"/>
    <w:rsid w:val="0017771E"/>
    <w:rsid w:val="001A02B7"/>
    <w:rsid w:val="001A3861"/>
    <w:rsid w:val="001A6820"/>
    <w:rsid w:val="001F6603"/>
    <w:rsid w:val="00204F95"/>
    <w:rsid w:val="00206F9F"/>
    <w:rsid w:val="00210EE7"/>
    <w:rsid w:val="0021208D"/>
    <w:rsid w:val="00213971"/>
    <w:rsid w:val="00213D49"/>
    <w:rsid w:val="00224DD9"/>
    <w:rsid w:val="0026198B"/>
    <w:rsid w:val="00277E5E"/>
    <w:rsid w:val="00285DF0"/>
    <w:rsid w:val="00294F36"/>
    <w:rsid w:val="002A45F3"/>
    <w:rsid w:val="002E5113"/>
    <w:rsid w:val="002F7429"/>
    <w:rsid w:val="00305041"/>
    <w:rsid w:val="00321C76"/>
    <w:rsid w:val="003620D5"/>
    <w:rsid w:val="00372035"/>
    <w:rsid w:val="003811E8"/>
    <w:rsid w:val="00384587"/>
    <w:rsid w:val="003A6A92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65B3"/>
    <w:rsid w:val="00464521"/>
    <w:rsid w:val="00465C22"/>
    <w:rsid w:val="00465DE4"/>
    <w:rsid w:val="004834C9"/>
    <w:rsid w:val="004D7E2D"/>
    <w:rsid w:val="00506BF5"/>
    <w:rsid w:val="00514E8C"/>
    <w:rsid w:val="005174C5"/>
    <w:rsid w:val="0052223E"/>
    <w:rsid w:val="00541EF4"/>
    <w:rsid w:val="005658FA"/>
    <w:rsid w:val="0056597A"/>
    <w:rsid w:val="005763B3"/>
    <w:rsid w:val="005B01AB"/>
    <w:rsid w:val="005B0EBF"/>
    <w:rsid w:val="005C3BC3"/>
    <w:rsid w:val="005E3EFB"/>
    <w:rsid w:val="00613650"/>
    <w:rsid w:val="00614DEB"/>
    <w:rsid w:val="0062335B"/>
    <w:rsid w:val="006246BB"/>
    <w:rsid w:val="00634DE3"/>
    <w:rsid w:val="00634FBD"/>
    <w:rsid w:val="0063567D"/>
    <w:rsid w:val="0065316B"/>
    <w:rsid w:val="00655AFD"/>
    <w:rsid w:val="00660615"/>
    <w:rsid w:val="00660E7B"/>
    <w:rsid w:val="00667E4F"/>
    <w:rsid w:val="0068173B"/>
    <w:rsid w:val="006B2B40"/>
    <w:rsid w:val="006B5CCE"/>
    <w:rsid w:val="006E02A1"/>
    <w:rsid w:val="006E1C08"/>
    <w:rsid w:val="006E5016"/>
    <w:rsid w:val="007438D8"/>
    <w:rsid w:val="00791821"/>
    <w:rsid w:val="007A07AC"/>
    <w:rsid w:val="007A669B"/>
    <w:rsid w:val="007B112B"/>
    <w:rsid w:val="007B61B9"/>
    <w:rsid w:val="007F6BE2"/>
    <w:rsid w:val="00801A96"/>
    <w:rsid w:val="008171D1"/>
    <w:rsid w:val="0085376A"/>
    <w:rsid w:val="00876D4C"/>
    <w:rsid w:val="00895BCC"/>
    <w:rsid w:val="008A0289"/>
    <w:rsid w:val="008A76CE"/>
    <w:rsid w:val="008F00FA"/>
    <w:rsid w:val="008F1B2C"/>
    <w:rsid w:val="009041AE"/>
    <w:rsid w:val="00914AAE"/>
    <w:rsid w:val="0094009E"/>
    <w:rsid w:val="00951B51"/>
    <w:rsid w:val="0097531E"/>
    <w:rsid w:val="009A79AF"/>
    <w:rsid w:val="009C300B"/>
    <w:rsid w:val="009E7DDE"/>
    <w:rsid w:val="009F33B8"/>
    <w:rsid w:val="009F36BF"/>
    <w:rsid w:val="00A02A68"/>
    <w:rsid w:val="00A0673E"/>
    <w:rsid w:val="00A12D2E"/>
    <w:rsid w:val="00A374A1"/>
    <w:rsid w:val="00A41271"/>
    <w:rsid w:val="00A445E2"/>
    <w:rsid w:val="00A4709C"/>
    <w:rsid w:val="00A62B95"/>
    <w:rsid w:val="00A647F9"/>
    <w:rsid w:val="00A83F80"/>
    <w:rsid w:val="00A8606D"/>
    <w:rsid w:val="00AC113D"/>
    <w:rsid w:val="00B02815"/>
    <w:rsid w:val="00B03F78"/>
    <w:rsid w:val="00B278F4"/>
    <w:rsid w:val="00B35C7A"/>
    <w:rsid w:val="00BB12DE"/>
    <w:rsid w:val="00BB5EEA"/>
    <w:rsid w:val="00BC638D"/>
    <w:rsid w:val="00BD5511"/>
    <w:rsid w:val="00C2455A"/>
    <w:rsid w:val="00C35D41"/>
    <w:rsid w:val="00C45D1E"/>
    <w:rsid w:val="00C613BF"/>
    <w:rsid w:val="00C76B31"/>
    <w:rsid w:val="00C9023D"/>
    <w:rsid w:val="00C94AF1"/>
    <w:rsid w:val="00C9561C"/>
    <w:rsid w:val="00CA25A8"/>
    <w:rsid w:val="00CB0A1E"/>
    <w:rsid w:val="00CB11B4"/>
    <w:rsid w:val="00CB78F5"/>
    <w:rsid w:val="00CC011C"/>
    <w:rsid w:val="00CD68DB"/>
    <w:rsid w:val="00CE5B9C"/>
    <w:rsid w:val="00CE5FDC"/>
    <w:rsid w:val="00CE7A58"/>
    <w:rsid w:val="00D324FE"/>
    <w:rsid w:val="00D51E73"/>
    <w:rsid w:val="00D554AF"/>
    <w:rsid w:val="00D738A5"/>
    <w:rsid w:val="00D83595"/>
    <w:rsid w:val="00D97E76"/>
    <w:rsid w:val="00DA02E0"/>
    <w:rsid w:val="00DA487B"/>
    <w:rsid w:val="00DA4A06"/>
    <w:rsid w:val="00DA4CE6"/>
    <w:rsid w:val="00DC3656"/>
    <w:rsid w:val="00DC69A2"/>
    <w:rsid w:val="00DE5158"/>
    <w:rsid w:val="00E069AB"/>
    <w:rsid w:val="00E813E7"/>
    <w:rsid w:val="00E85CEE"/>
    <w:rsid w:val="00EA64EC"/>
    <w:rsid w:val="00EC1E7E"/>
    <w:rsid w:val="00EC71DC"/>
    <w:rsid w:val="00ED0B3E"/>
    <w:rsid w:val="00EE0C5F"/>
    <w:rsid w:val="00F03268"/>
    <w:rsid w:val="00F06087"/>
    <w:rsid w:val="00F13CE6"/>
    <w:rsid w:val="00F15C9E"/>
    <w:rsid w:val="00F43D11"/>
    <w:rsid w:val="00F72F50"/>
    <w:rsid w:val="00F90D0D"/>
    <w:rsid w:val="00F92D0A"/>
    <w:rsid w:val="00FF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D355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3E7"/>
  </w:style>
  <w:style w:type="paragraph" w:styleId="Naslov1">
    <w:name w:val="heading 1"/>
    <w:basedOn w:val="Normal"/>
    <w:next w:val="Normal"/>
    <w:link w:val="Naslov1Char"/>
    <w:uiPriority w:val="9"/>
    <w:qFormat/>
    <w:rsid w:val="00F4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43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43D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43D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table" w:customStyle="1" w:styleId="TableGrid">
    <w:name w:val="TableGrid"/>
    <w:rsid w:val="00D51E7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aglaeno">
    <w:name w:val="Strong"/>
    <w:basedOn w:val="Zadanifontodlomka"/>
    <w:uiPriority w:val="22"/>
    <w:qFormat/>
    <w:rsid w:val="00ED0B3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ED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ezproreda">
    <w:name w:val="No Spacing"/>
    <w:uiPriority w:val="1"/>
    <w:qFormat/>
    <w:rsid w:val="00F43D11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43D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43D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43D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F43D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Reetkatablice">
    <w:name w:val="Table Grid"/>
    <w:basedOn w:val="Obinatablica"/>
    <w:uiPriority w:val="59"/>
    <w:rsid w:val="0081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305F-F20D-4C92-9A15-2E8145E6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5334</Words>
  <Characters>30405</Characters>
  <Application>Microsoft Office Word</Application>
  <DocSecurity>0</DocSecurity>
  <Lines>253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lucijana ljubenko</cp:lastModifiedBy>
  <cp:revision>4</cp:revision>
  <cp:lastPrinted>2025-09-18T10:17:00Z</cp:lastPrinted>
  <dcterms:created xsi:type="dcterms:W3CDTF">2025-12-17T13:13:00Z</dcterms:created>
  <dcterms:modified xsi:type="dcterms:W3CDTF">2025-12-17T13:28:00Z</dcterms:modified>
</cp:coreProperties>
</file>