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007e6cee54f6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11919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MARINA GETALDIĆA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1.887.242,47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1.588.809,51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1.364.850,62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1.677.586,25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88.776,74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526.314,99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36.529,74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526.257,27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36.503,10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3.865,42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125.279,84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3241,0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U izvještajnom razdoblju tekuće godine ostvareni su poslovni prihodi u iznosu od 1,588.836,15 €, dok su rashodi poslovanja iznosili 1.714.115,99 €. U okviru rashoda uključeni su i izdaci za nabavu nefinancijske imovine u iznosu od 36.529,74 €. Višak prihoda prenesen iz 2024. godine iznosio je 10.228,22 €. Sukladno navedenome, utvrđen je metodološki manjak u iznosu od 115.051,62 €, koji se prenosi u sljedeće izvještajno razdoblje. Ovaj manjak proizlazi prvenstveno iz primjene novog Pravilnika o proračunskom računovodstvu i Računskom planu, koji je na snazi od 30. prosinca 2023. godine, dok je njegova stvarna primjena u knjigovodstvenim evidencijama započela 1. siječnja 2025. godine. Ključna promjena odnosi se na ukidanje podskupine računa 193 – kontinuirani rashodi budućih razdoblja. Sukladno članku 233. Pravilnika, od 1. siječnja 2025. kontinuirani rashodi prenose se na odgovarajuće račune razreda 3 – rashodi poslovanja, čime je izmijenjen dosadašnji način knjiženja i priznavanja troškova. Naša je škola ranije kontinuirane rashode razgraničavala, dok su ove godine rashodi prikazani u većem broju stavki unutar tromjesečnih, polugodišnjih i godišnjih izvještaja. Istodobno, prihodi za njihovo financiranje i dalje se prikazuju u dvanaest mjesečnih uplata, što dovodi do nesklada – u izvještajima je evidentirano trinaest mjeseci rashoda, a samo dvanaest mjeseci prihoda. Ova razlika ne predstavlja stvarni manjak sredstava, već privremeni učinak prijelaznog računovodstvenog razdoblja. Nadalje, promjene u strukturi rashoda i prihoda djelomično su rezultat novog modela poslovanja, prema kojem se većina transakcija provodi izravno putem Riznice Grada Dubrovnika, dok se više ne posluje po akontacijskom modelu kao ranijih godina.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sve obveze su nedospjele. Obveze se plaćaju redovito po dospijeću.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Izvor 561- Europski socijalni fond plus odnosi se na plaće, prijevoz i službena putovanja za pomoćnike u nastavi - 25.211,01 EUR.</w:t>
      </w:r>
    </w:p>
    <w:p>
      <w:r>
        <w:t xml:space="preserve">Izvor 565 - Europski poljoprivredni fond za ruralni razvoj odnosi se na projekt Shema školskog voća - 1.700,00 EUR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9014b146e4b44" /></Relationships>
</file>