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Pr="009B65EC" w:rsidRDefault="00835D2E" w:rsidP="00835D2E">
      <w:pPr>
        <w:jc w:val="center"/>
        <w:rPr>
          <w:rFonts w:cstheme="minorHAnsi"/>
          <w:b/>
          <w:i/>
          <w:sz w:val="40"/>
          <w:szCs w:val="40"/>
          <w:highlight w:val="lightGray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OBRAZLOŽENJE</w:t>
      </w:r>
      <w:r>
        <w:rPr>
          <w:rFonts w:cstheme="minorHAnsi"/>
          <w:b/>
          <w:i/>
          <w:sz w:val="40"/>
          <w:szCs w:val="40"/>
          <w:highlight w:val="lightGray"/>
          <w:u w:val="single"/>
        </w:rPr>
        <w:t xml:space="preserve"> POLU</w:t>
      </w: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 xml:space="preserve">GODIŠNJEG IZVJEŠTAJA O IZVRŠENJU </w:t>
      </w:r>
    </w:p>
    <w:p w:rsidR="00835D2E" w:rsidRPr="009B65EC" w:rsidRDefault="00835D2E" w:rsidP="00835D2E">
      <w:pPr>
        <w:jc w:val="center"/>
        <w:rPr>
          <w:rFonts w:cstheme="minorHAnsi"/>
          <w:b/>
          <w:i/>
          <w:sz w:val="40"/>
          <w:szCs w:val="40"/>
          <w:highlight w:val="lightGray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FINANCIJSKOG PLANA ZA 202</w:t>
      </w:r>
      <w:r>
        <w:rPr>
          <w:rFonts w:cstheme="minorHAnsi"/>
          <w:b/>
          <w:i/>
          <w:sz w:val="40"/>
          <w:szCs w:val="40"/>
          <w:highlight w:val="lightGray"/>
          <w:u w:val="single"/>
        </w:rPr>
        <w:t>5</w:t>
      </w: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. GODINU</w:t>
      </w:r>
    </w:p>
    <w:p w:rsidR="00835D2E" w:rsidRPr="009B65EC" w:rsidRDefault="00835D2E" w:rsidP="00835D2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835D2E" w:rsidRPr="009B65EC" w:rsidRDefault="00835D2E" w:rsidP="00835D2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835D2E" w:rsidRPr="009B65EC" w:rsidRDefault="00835D2E" w:rsidP="00835D2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835D2E" w:rsidRPr="009B65EC" w:rsidRDefault="00835D2E" w:rsidP="00835D2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OSNOVNA ŠKOLA MARINA GETALDIĆA</w:t>
      </w:r>
      <w:r w:rsidRPr="00E201FF">
        <w:rPr>
          <w:rFonts w:cstheme="minorHAnsi"/>
          <w:b/>
          <w:i/>
          <w:sz w:val="40"/>
          <w:szCs w:val="40"/>
          <w:u w:val="single"/>
        </w:rPr>
        <w:t xml:space="preserve"> </w:t>
      </w: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Pr="00E201FF" w:rsidRDefault="00835D2E" w:rsidP="00835D2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835D2E" w:rsidRPr="00326E7E" w:rsidRDefault="00835D2E" w:rsidP="0083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lang w:eastAsia="zh-CN"/>
        </w:rPr>
        <w:t>RAZINA: 31</w:t>
      </w:r>
    </w:p>
    <w:p w:rsidR="00835D2E" w:rsidRPr="00326E7E" w:rsidRDefault="00835D2E" w:rsidP="00835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Nikole Gučetića 1</w:t>
      </w:r>
      <w:r w:rsidRPr="00326E7E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, Dubrovnik</w:t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lang w:eastAsia="zh-CN"/>
        </w:rPr>
        <w:t>RKDP: 11919</w:t>
      </w:r>
    </w:p>
    <w:p w:rsidR="00835D2E" w:rsidRPr="00326E7E" w:rsidRDefault="00835D2E" w:rsidP="00835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lang w:eastAsia="zh-CN"/>
        </w:rPr>
        <w:t>Matični broj: 3303713</w:t>
      </w:r>
    </w:p>
    <w:p w:rsidR="00835D2E" w:rsidRPr="00326E7E" w:rsidRDefault="00835D2E" w:rsidP="00835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lang w:eastAsia="zh-CN"/>
        </w:rPr>
        <w:t>Šifarska oznaka:80102</w:t>
      </w:r>
    </w:p>
    <w:p w:rsidR="00835D2E" w:rsidRPr="00E201FF" w:rsidRDefault="00835D2E" w:rsidP="00835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Arial" w:hAnsi="Arial" w:cs="Arial"/>
          <w:b/>
          <w:sz w:val="24"/>
          <w:szCs w:val="24"/>
          <w:u w:val="single"/>
          <w:lang w:eastAsia="zh-CN"/>
        </w:rPr>
        <w:lastRenderedPageBreak/>
        <w:t xml:space="preserve">                                                                          </w:t>
      </w:r>
      <w:r w:rsidRPr="00326E7E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IBAN:HR4224070001100019843</w:t>
      </w:r>
    </w:p>
    <w:p w:rsidR="00835D2E" w:rsidRPr="00A1240E" w:rsidRDefault="00835D2E" w:rsidP="00835D2E">
      <w:pPr>
        <w:jc w:val="center"/>
        <w:rPr>
          <w:rFonts w:cstheme="minorHAnsi"/>
          <w:b/>
          <w:sz w:val="24"/>
          <w:szCs w:val="24"/>
        </w:rPr>
      </w:pPr>
    </w:p>
    <w:p w:rsidR="00835D2E" w:rsidRPr="00462DB6" w:rsidRDefault="00835D2E" w:rsidP="00835D2E">
      <w:pPr>
        <w:rPr>
          <w:i/>
          <w:color w:val="231F20"/>
          <w:shd w:val="clear" w:color="auto" w:fill="FFFFFF"/>
        </w:rPr>
      </w:pPr>
      <w:r w:rsidRPr="00462DB6">
        <w:rPr>
          <w:i/>
          <w:color w:val="231F20"/>
          <w:shd w:val="clear" w:color="auto" w:fill="FFFFFF"/>
        </w:rPr>
        <w:t>Pravilnikom o polugodišnjem i godišnjem izvještaju o izvršenju proračuna i financijskog plana propisuje se izgled, sadržaj, obveznici primjene, način i rokovi podnošenja, donošenja i objave polugodišnjeg i godišnjeg izvještaja o izvršenju proračuna i financijskog plana.</w:t>
      </w:r>
    </w:p>
    <w:p w:rsidR="00835D2E" w:rsidRPr="00474C8D" w:rsidRDefault="00835D2E" w:rsidP="00835D2E">
      <w:pPr>
        <w:rPr>
          <w:rFonts w:cstheme="minorHAnsi"/>
          <w:b/>
          <w:i/>
        </w:rPr>
      </w:pPr>
    </w:p>
    <w:p w:rsidR="00835D2E" w:rsidRDefault="00835D2E" w:rsidP="00835D2E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835D2E" w:rsidRDefault="00835D2E" w:rsidP="00835D2E">
      <w:pPr>
        <w:pStyle w:val="box474667"/>
        <w:shd w:val="clear" w:color="auto" w:fill="FFFFFF"/>
        <w:spacing w:before="204" w:beforeAutospacing="0" w:after="72" w:afterAutospacing="0"/>
        <w:ind w:left="36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835D2E" w:rsidRDefault="00835D2E" w:rsidP="00835D2E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  <w:bookmarkStart w:id="0" w:name="_Hlk161661890"/>
      <w:r w:rsidRPr="00E201FF">
        <w:rPr>
          <w:rFonts w:asciiTheme="minorHAnsi" w:hAnsiTheme="minorHAnsi" w:cstheme="minorHAnsi"/>
          <w:b/>
          <w:i/>
          <w:color w:val="231F20"/>
        </w:rPr>
        <w:t xml:space="preserve">OPĆI DIO </w:t>
      </w:r>
      <w:r>
        <w:rPr>
          <w:rFonts w:asciiTheme="minorHAnsi" w:hAnsiTheme="minorHAnsi" w:cstheme="minorHAnsi"/>
          <w:b/>
          <w:i/>
          <w:color w:val="231F20"/>
        </w:rPr>
        <w:t>POLU</w:t>
      </w:r>
      <w:r w:rsidRPr="00E201FF">
        <w:rPr>
          <w:rFonts w:asciiTheme="minorHAnsi" w:hAnsiTheme="minorHAnsi" w:cstheme="minorHAnsi"/>
          <w:b/>
          <w:i/>
          <w:color w:val="231F20"/>
        </w:rPr>
        <w:t>GODIŠNJEG IZVJEŠTAJA O IZVRŠENJU PRORAČUNA</w:t>
      </w:r>
    </w:p>
    <w:bookmarkEnd w:id="0"/>
    <w:p w:rsidR="00835D2E" w:rsidRPr="00D145F3" w:rsidRDefault="00835D2E" w:rsidP="00835D2E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b/>
          <w:i/>
          <w:color w:val="231F20"/>
        </w:rPr>
      </w:pPr>
    </w:p>
    <w:p w:rsidR="00835D2E" w:rsidRPr="00D145F3" w:rsidRDefault="00835D2E" w:rsidP="00835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Polugodišnji izvještaj o izvršenju financijskog plana sadrži:</w:t>
      </w:r>
    </w:p>
    <w:p w:rsidR="00835D2E" w:rsidRPr="00D145F3" w:rsidRDefault="00835D2E" w:rsidP="00835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-opći dio</w:t>
      </w:r>
    </w:p>
    <w:p w:rsidR="00835D2E" w:rsidRPr="00D145F3" w:rsidRDefault="00835D2E" w:rsidP="00835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-posebni dio</w:t>
      </w:r>
    </w:p>
    <w:p w:rsidR="00835D2E" w:rsidRPr="00D145F3" w:rsidRDefault="00835D2E" w:rsidP="00835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-obrazloženje općeg dijela </w:t>
      </w:r>
    </w:p>
    <w:p w:rsidR="00835D2E" w:rsidRPr="00D145F3" w:rsidRDefault="00835D2E" w:rsidP="00835D2E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b/>
          <w:i/>
          <w:color w:val="231F20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D145F3">
        <w:rPr>
          <w:color w:val="231F20"/>
        </w:rPr>
        <w:t xml:space="preserve"> </w:t>
      </w:r>
      <w:r w:rsidRPr="00D145F3">
        <w:rPr>
          <w:color w:val="231F20"/>
          <w:lang w:val="hr-HR"/>
        </w:rPr>
        <w:t>Opći dio sadrži: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D145F3">
        <w:rPr>
          <w:color w:val="231F20"/>
          <w:lang w:val="hr-HR"/>
        </w:rPr>
        <w:t>– sažetak Računa prihoda i rashoda i Računa financiranja,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D145F3">
        <w:rPr>
          <w:color w:val="231F20"/>
          <w:lang w:val="hr-HR"/>
        </w:rPr>
        <w:t>– Račun prihoda i rashoda i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D145F3">
        <w:rPr>
          <w:color w:val="231F20"/>
          <w:lang w:val="hr-HR"/>
        </w:rPr>
        <w:t>– Račun financiranja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  <w:lang w:val="hr-HR"/>
        </w:rPr>
      </w:pPr>
      <w:r w:rsidRPr="00D145F3">
        <w:rPr>
          <w:color w:val="231F20"/>
          <w:lang w:val="hr-HR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  <w:lang w:val="hr-HR"/>
        </w:rPr>
      </w:pPr>
      <w:r w:rsidRPr="00D145F3">
        <w:rPr>
          <w:color w:val="231F20"/>
          <w:lang w:val="hr-HR"/>
        </w:rPr>
        <w:t>Opći dio polugodišnjeg i godišnjeg izvještaja o izvršenju proračuna sadrži rebalans ako je od donošenja proračuna bilo izmjena i dopuna proračuna.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  <w:lang w:val="hr-HR"/>
        </w:rPr>
      </w:pPr>
    </w:p>
    <w:p w:rsidR="00835D2E" w:rsidRPr="00D145F3" w:rsidRDefault="00835D2E" w:rsidP="00835D2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D145F3">
        <w:rPr>
          <w:rFonts w:ascii="Times New Roman" w:hAnsi="Times New Roman" w:cs="Times New Roman"/>
          <w:color w:val="000000" w:themeColor="text1"/>
          <w:sz w:val="24"/>
          <w:szCs w:val="24"/>
        </w:rPr>
        <w:t>Iz sažetka Računa prihoda i rashoda vidljivo je da su u izvještajnom razdoblju ostvareni ukupni prihodi i primici u iznosu od</w:t>
      </w:r>
      <w:r w:rsidRPr="00D14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765.803,89 e</w:t>
      </w:r>
      <w:r w:rsidRPr="00D1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ura, te realizirani ukupni rashodi i izdaci u iznosu od </w:t>
      </w:r>
      <w:r w:rsidRPr="00D14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868.794,46 </w:t>
      </w:r>
      <w:r w:rsidRPr="00D1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te je rezultat izvještajnog razdoblja manjak prihoda u iznosu  102.990,57 eura. </w:t>
      </w:r>
      <w:r w:rsidRPr="00D145F3">
        <w:rPr>
          <w:rFonts w:ascii="Times New Roman" w:hAnsi="Times New Roman" w:cs="Times New Roman"/>
          <w:sz w:val="24"/>
          <w:szCs w:val="24"/>
        </w:rPr>
        <w:t xml:space="preserve">Manjak prihoda u iznosu od </w:t>
      </w:r>
      <w:r w:rsidRPr="00D145F3">
        <w:rPr>
          <w:rStyle w:val="Naglaeno"/>
          <w:rFonts w:ascii="Times New Roman" w:hAnsi="Times New Roman" w:cs="Times New Roman"/>
          <w:sz w:val="24"/>
          <w:szCs w:val="24"/>
        </w:rPr>
        <w:t>102.990,57 eura</w:t>
      </w:r>
      <w:r w:rsidRPr="00D145F3">
        <w:rPr>
          <w:rFonts w:ascii="Times New Roman" w:hAnsi="Times New Roman" w:cs="Times New Roman"/>
          <w:sz w:val="24"/>
          <w:szCs w:val="24"/>
        </w:rPr>
        <w:t xml:space="preserve">, iskazan u Računu prihoda i rashoda škole, </w:t>
      </w:r>
      <w:r w:rsidRPr="00D145F3">
        <w:rPr>
          <w:rStyle w:val="Naglaeno"/>
          <w:rFonts w:ascii="Times New Roman" w:hAnsi="Times New Roman" w:cs="Times New Roman"/>
          <w:b w:val="0"/>
          <w:sz w:val="24"/>
          <w:szCs w:val="24"/>
        </w:rPr>
        <w:t>nije rezultat stvarnog financijskog deficita</w:t>
      </w:r>
      <w:r w:rsidRPr="00D145F3">
        <w:rPr>
          <w:rFonts w:ascii="Times New Roman" w:hAnsi="Times New Roman" w:cs="Times New Roman"/>
          <w:sz w:val="24"/>
          <w:szCs w:val="24"/>
        </w:rPr>
        <w:t xml:space="preserve">, već je </w:t>
      </w:r>
      <w:r w:rsidRPr="00D145F3">
        <w:rPr>
          <w:rStyle w:val="Naglaeno"/>
          <w:rFonts w:ascii="Times New Roman" w:hAnsi="Times New Roman" w:cs="Times New Roman"/>
          <w:b w:val="0"/>
          <w:sz w:val="24"/>
          <w:szCs w:val="24"/>
        </w:rPr>
        <w:t>nastao zbog</w:t>
      </w:r>
      <w:r w:rsidRPr="00D145F3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D145F3">
        <w:rPr>
          <w:rFonts w:ascii="Times New Roman" w:hAnsi="Times New Roman" w:cs="Times New Roman"/>
          <w:sz w:val="24"/>
          <w:szCs w:val="24"/>
        </w:rPr>
        <w:t xml:space="preserve">evidentiranja rashoda i prihoda vezano za </w:t>
      </w:r>
      <w:r w:rsidRPr="00D145F3">
        <w:rPr>
          <w:rStyle w:val="Naglaeno"/>
          <w:rFonts w:ascii="Times New Roman" w:hAnsi="Times New Roman" w:cs="Times New Roman"/>
          <w:b w:val="0"/>
          <w:sz w:val="24"/>
          <w:szCs w:val="24"/>
        </w:rPr>
        <w:t>plaće zaposlenika</w:t>
      </w:r>
      <w:r w:rsidRPr="00D145F3">
        <w:rPr>
          <w:rFonts w:ascii="Times New Roman" w:hAnsi="Times New Roman" w:cs="Times New Roman"/>
          <w:sz w:val="24"/>
          <w:szCs w:val="24"/>
        </w:rPr>
        <w:t xml:space="preserve">. Plaće za mjesec lipanj knjižene su s datumom </w:t>
      </w:r>
      <w:r w:rsidRPr="00D145F3">
        <w:rPr>
          <w:rFonts w:ascii="Times New Roman" w:hAnsi="Times New Roman" w:cs="Times New Roman"/>
          <w:sz w:val="24"/>
          <w:szCs w:val="24"/>
        </w:rPr>
        <w:lastRenderedPageBreak/>
        <w:t>30.06. te su izvještaju</w:t>
      </w:r>
      <w:r w:rsidRPr="00835D2E">
        <w:rPr>
          <w:rFonts w:cstheme="minorHAnsi"/>
        </w:rPr>
        <w:t xml:space="preserve"> </w:t>
      </w:r>
      <w:r w:rsidRPr="00D145F3">
        <w:rPr>
          <w:rFonts w:ascii="Times New Roman" w:hAnsi="Times New Roman" w:cs="Times New Roman"/>
          <w:sz w:val="24"/>
          <w:szCs w:val="24"/>
        </w:rPr>
        <w:t xml:space="preserve">vidljivi rashodi za naveden plaće, dok se prihod knjiži danom isplate ( u srpnju) te zbog toga nije vidljiv u promatranom izvještaju. </w:t>
      </w:r>
    </w:p>
    <w:p w:rsidR="00835D2E" w:rsidRPr="00D145F3" w:rsidRDefault="00835D2E" w:rsidP="00835D2E">
      <w:pPr>
        <w:rPr>
          <w:rFonts w:ascii="Times New Roman" w:hAnsi="Times New Roman" w:cs="Times New Roman"/>
          <w:sz w:val="24"/>
          <w:szCs w:val="24"/>
        </w:rPr>
      </w:pPr>
    </w:p>
    <w:p w:rsidR="0051522A" w:rsidRPr="00D145F3" w:rsidRDefault="0051522A" w:rsidP="00515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  <w:r w:rsidRPr="00D145F3">
        <w:rPr>
          <w:rFonts w:ascii="Times New Roman" w:hAnsi="Times New Roman" w:cs="Times New Roman"/>
          <w:sz w:val="24"/>
          <w:szCs w:val="24"/>
        </w:rPr>
        <w:t xml:space="preserve"> sadrži prikaz ukupno ostvarenih prihoda i ostvarenih rashoda prema ekonomskoj klasifikaciji.  </w:t>
      </w:r>
    </w:p>
    <w:p w:rsidR="0051522A" w:rsidRPr="00D145F3" w:rsidRDefault="0051522A" w:rsidP="00515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830041"/>
      <w:r w:rsidRPr="00D145F3">
        <w:rPr>
          <w:rFonts w:ascii="Times New Roman" w:hAnsi="Times New Roman" w:cs="Times New Roman"/>
          <w:sz w:val="24"/>
          <w:szCs w:val="24"/>
        </w:rPr>
        <w:t xml:space="preserve">Prihodi proračuna za 2025. planirani su u iznosu od 1.488.760,00€. U razdoblju od 01.01.2025. do 30.06.2025. ostvareni prihodi iznose 765.803,77 €  što je  51,44% u odnosu na planirane prihode. U odnosu na prošlu godinu prihodi su veći i indeks izvršenja je 60,61%.  </w:t>
      </w:r>
    </w:p>
    <w:bookmarkEnd w:id="1"/>
    <w:p w:rsidR="0051522A" w:rsidRPr="00D145F3" w:rsidRDefault="0051522A" w:rsidP="00515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Do povećanja prihoda došlo je zbog:</w:t>
      </w:r>
    </w:p>
    <w:p w:rsidR="0051522A" w:rsidRPr="00D145F3" w:rsidRDefault="0051522A" w:rsidP="00515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-povećanje osnovice za obračun plaća</w:t>
      </w:r>
    </w:p>
    <w:p w:rsidR="0051522A" w:rsidRPr="00D145F3" w:rsidRDefault="0051522A" w:rsidP="00515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- povećani materijalni troškovi u odnosu na prošlu godinu. </w:t>
      </w: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lang w:val="hr-HR"/>
        </w:rPr>
      </w:pPr>
    </w:p>
    <w:p w:rsidR="00835D2E" w:rsidRPr="00D145F3" w:rsidRDefault="00835D2E" w:rsidP="00835D2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i/>
          <w:lang w:val="hr-HR"/>
        </w:rPr>
      </w:pPr>
    </w:p>
    <w:p w:rsidR="00835D2E" w:rsidRPr="00D145F3" w:rsidRDefault="00835D2E" w:rsidP="00835D2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63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>Pomoći iz inozemstva i od subjekata unutar općeg proračuna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Pomoći sastoje se od:</w:t>
      </w:r>
    </w:p>
    <w:p w:rsidR="00835D2E" w:rsidRPr="00D145F3" w:rsidRDefault="00835D2E" w:rsidP="00835D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tekuće pomoći iz Ministarstva znanosti i obrazovanja za troškove zaposlenika (plaće i materijalna prava), financiranje prehrane učenika</w:t>
      </w:r>
      <w:r w:rsidR="0072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65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>Prihodi od upravnih i administrativnih pristojbi, pristojbi po posebnim propisima i naknada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To su prihodi po posebnim propisima. Planirani su prihodi od godišnjih participacija roditelja/skrbnika učenika za prehranu u projektu Produženi boravak, uplate za osiguranje djece i sl.</w:t>
      </w:r>
      <w:r w:rsidR="007261C5">
        <w:rPr>
          <w:rFonts w:ascii="Times New Roman" w:hAnsi="Times New Roman" w:cs="Times New Roman"/>
          <w:sz w:val="24"/>
          <w:szCs w:val="24"/>
        </w:rPr>
        <w:t xml:space="preserve"> Polugodišnje izvršenje iznosi 50,86% od planiranih godišnjih prihoda. 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67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>Prihodi iz proračuna proračunskih korisnika</w:t>
      </w:r>
    </w:p>
    <w:p w:rsidR="0051522A" w:rsidRPr="00D145F3" w:rsidRDefault="0051522A" w:rsidP="00515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Najveće povećanje u odnosu na prošlu godinu je prihod 6711 Prihodi iz nadležnog proračuna za financiranje rashoda poslovanja, a odnosi se prihod kojim se financiralo tekuće i investicijsko održavanje odnosno sanacija krova na školskoj zgradi Centar. </w:t>
      </w:r>
    </w:p>
    <w:p w:rsidR="0051522A" w:rsidRPr="008718D7" w:rsidRDefault="0051522A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5D2E" w:rsidRPr="008718D7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Default="00835D2E" w:rsidP="00835D2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835D2E" w:rsidRPr="009E4BFB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20"/>
          <w:szCs w:val="20"/>
          <w:lang w:val="hr-HR"/>
        </w:rPr>
      </w:pPr>
    </w:p>
    <w:p w:rsidR="00835D2E" w:rsidRPr="00474C8D" w:rsidRDefault="00835D2E" w:rsidP="00835D2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>.</w:t>
      </w:r>
    </w:p>
    <w:p w:rsidR="00835D2E" w:rsidRPr="00496F60" w:rsidRDefault="00835D2E" w:rsidP="00835D2E">
      <w:pPr>
        <w:jc w:val="both"/>
        <w:rPr>
          <w:rFonts w:ascii="Arial" w:hAnsi="Arial" w:cs="Arial"/>
        </w:rPr>
      </w:pPr>
    </w:p>
    <w:p w:rsidR="00835D2E" w:rsidRPr="008718D7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Ukupni planirani rashodi  </w:t>
      </w:r>
      <w:r w:rsidR="004D24CE">
        <w:rPr>
          <w:rFonts w:ascii="Times New Roman" w:hAnsi="Times New Roman" w:cs="Times New Roman"/>
          <w:sz w:val="24"/>
          <w:szCs w:val="24"/>
        </w:rPr>
        <w:t xml:space="preserve">iznose 1.488.760,00 eura za 2025. godinu, a do 30.06.2025. rashodi iznose 868.794,21 </w:t>
      </w:r>
      <w:proofErr w:type="spellStart"/>
      <w:r w:rsidR="004D24C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D2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D2E" w:rsidRPr="008718D7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8718D7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35D2E" w:rsidRPr="008718D7">
        <w:rPr>
          <w:rFonts w:ascii="Times New Roman" w:hAnsi="Times New Roman" w:cs="Times New Roman"/>
          <w:sz w:val="24"/>
          <w:szCs w:val="24"/>
          <w:u w:val="single"/>
        </w:rPr>
        <w:t>Rashodi za zaposlene</w:t>
      </w:r>
    </w:p>
    <w:p w:rsidR="00835D2E" w:rsidRPr="008718D7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Rashodi za zaposlene su planirani u iznosu od </w:t>
      </w:r>
      <w:r w:rsidR="004D24CE">
        <w:rPr>
          <w:rFonts w:ascii="Times New Roman" w:hAnsi="Times New Roman" w:cs="Times New Roman"/>
          <w:sz w:val="24"/>
          <w:szCs w:val="24"/>
        </w:rPr>
        <w:t>1.201.300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D7">
        <w:rPr>
          <w:rFonts w:ascii="Times New Roman" w:hAnsi="Times New Roman" w:cs="Times New Roman"/>
          <w:sz w:val="24"/>
          <w:szCs w:val="24"/>
        </w:rPr>
        <w:t>eura za plaće i naknade plaća s doprinosima na plaće te materijalna prava ugovorena kolektivnim ugovorima</w:t>
      </w:r>
      <w:r w:rsidR="004D24CE">
        <w:rPr>
          <w:rFonts w:ascii="Times New Roman" w:hAnsi="Times New Roman" w:cs="Times New Roman"/>
          <w:sz w:val="24"/>
          <w:szCs w:val="24"/>
        </w:rPr>
        <w:t xml:space="preserve">. Za razdoblje 01.01.-30.06.2025. utrošeno je 57% planiranih sredstava. Povećanje u odnosu na prethodnu godinu odnosi se na povećanje plaća temeljem rasta osnovice za obračun. </w:t>
      </w:r>
    </w:p>
    <w:p w:rsidR="00835D2E" w:rsidRPr="008718D7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835D2E" w:rsidRPr="008718D7">
        <w:rPr>
          <w:rFonts w:ascii="Times New Roman" w:hAnsi="Times New Roman" w:cs="Times New Roman"/>
          <w:sz w:val="24"/>
          <w:szCs w:val="24"/>
          <w:u w:val="single"/>
        </w:rPr>
        <w:t>Materijalni rashod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Materijalni rashod obuhvaćaju: </w:t>
      </w:r>
    </w:p>
    <w:p w:rsidR="00835D2E" w:rsidRPr="00D145F3" w:rsidRDefault="00835D2E" w:rsidP="00835D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naknade troškova zaposlenima za službena putovanja (dnevnice, troškovi prijevoza i smještaja), naknade za prijevoz zaposlenika na posao i s posla i troškove stručnog usavršavanja,</w:t>
      </w:r>
    </w:p>
    <w:p w:rsidR="00835D2E" w:rsidRPr="00D145F3" w:rsidRDefault="00835D2E" w:rsidP="00835D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rashode za materijal i energiju za uredski materijal, stručnu literaturu, materijal i sredstva za čišćenje, materijal za higijenske potrebe i njegu, nastavni materijal, energente, materijal i dijelove za tekuće održavanje, sitni inventar i zaštitnu odjeću i obuću,</w:t>
      </w:r>
    </w:p>
    <w:p w:rsidR="00835D2E" w:rsidRPr="00D145F3" w:rsidRDefault="00835D2E" w:rsidP="00835D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rashode za usluge – planirani su kontinuirani troškovi telefona, poštarine, tekućeg održavanja opreme, komunalnih usluga,  usluga održavanja prostora i opreme, ažuriranja računalnih programa, i grafičkih usluga,</w:t>
      </w:r>
    </w:p>
    <w:p w:rsidR="00835D2E" w:rsidRDefault="00835D2E" w:rsidP="00835D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ostali nespomenuti rashodi poslovanja – planirani su rashodi za premije osiguranja, reprezentaciju, članarine, sudske pristojbe.</w:t>
      </w:r>
    </w:p>
    <w:p w:rsidR="007261C5" w:rsidRPr="007261C5" w:rsidRDefault="007261C5" w:rsidP="00835D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1C5">
        <w:rPr>
          <w:rFonts w:ascii="Times New Roman" w:hAnsi="Times New Roman" w:cs="Times New Roman"/>
          <w:sz w:val="24"/>
          <w:szCs w:val="24"/>
        </w:rPr>
        <w:t>Povećanje u odnosu na prošlu godinu najvećim dijelom se odnosi na tekuće i investicijsko održavanje, a radi se o rashodima za sanaciju krova u svibnju 2025. godine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61C5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61C5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5D2E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>Financijski rashodi</w:t>
      </w:r>
    </w:p>
    <w:p w:rsidR="007261C5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Financijski rashodi odnose se na rashode za usluge platnog prometa.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37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 xml:space="preserve">Naknade građanima i kućanstvima </w:t>
      </w:r>
    </w:p>
    <w:p w:rsidR="007261C5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Odnosi se na rashode za nabavu radnih materijalna za učenike koje financira Osnivač, te na troškove, te na troškove prehrane u projektu Produženi boravak. </w:t>
      </w:r>
      <w:r w:rsidR="007261C5">
        <w:rPr>
          <w:rFonts w:ascii="Times New Roman" w:hAnsi="Times New Roman" w:cs="Times New Roman"/>
          <w:sz w:val="24"/>
          <w:szCs w:val="24"/>
        </w:rPr>
        <w:t xml:space="preserve"> U prvom dijelu 2025.godine </w:t>
      </w:r>
      <w:r w:rsidR="007261C5">
        <w:rPr>
          <w:rFonts w:ascii="Times New Roman" w:hAnsi="Times New Roman" w:cs="Times New Roman"/>
          <w:sz w:val="24"/>
          <w:szCs w:val="24"/>
        </w:rPr>
        <w:lastRenderedPageBreak/>
        <w:t xml:space="preserve">ostvareno je 14% više u odnosu na prošlu godinu, a razlog je veći broj djece u projektu Produženog boravka. </w:t>
      </w:r>
    </w:p>
    <w:p w:rsidR="00835D2E" w:rsidRPr="00D145F3" w:rsidRDefault="00835D2E" w:rsidP="00835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D145F3" w:rsidRDefault="007261C5" w:rsidP="00835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42 </w:t>
      </w:r>
      <w:r w:rsidR="00835D2E" w:rsidRPr="00D145F3">
        <w:rPr>
          <w:rFonts w:ascii="Times New Roman" w:hAnsi="Times New Roman" w:cs="Times New Roman"/>
          <w:sz w:val="24"/>
          <w:szCs w:val="24"/>
          <w:u w:val="single"/>
        </w:rPr>
        <w:t>Rashodi za nabavu nefinancijske imovine</w:t>
      </w:r>
    </w:p>
    <w:p w:rsidR="00835D2E" w:rsidRPr="00D145F3" w:rsidRDefault="00835D2E" w:rsidP="00835D2E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D24CE"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prvom polugodištu </w:t>
      </w:r>
      <w:r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D24CE"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4D24CE"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 za nabavu nefinancijske imovine iznosi </w:t>
      </w:r>
      <w:r w:rsidR="004D24CE" w:rsidRPr="00D145F3">
        <w:rPr>
          <w:rFonts w:ascii="Times New Roman" w:eastAsia="Times New Roman" w:hAnsi="Times New Roman" w:cs="Times New Roman"/>
          <w:sz w:val="24"/>
          <w:szCs w:val="24"/>
          <w:lang w:eastAsia="hr-HR"/>
        </w:rPr>
        <w:t>1496,25 eura i odnosi se na kupnju novog računala.</w:t>
      </w:r>
      <w:r w:rsidR="00726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Razlika u odnosu na prošlu godinu proizlazi iz prošlogodišnjih rashoda za nabavu nefinancijske imovine koji su za opremanje školskih zgrada iznosili 500.000,00 eura a financirali su se donacijom zaklade </w:t>
      </w:r>
      <w:proofErr w:type="spellStart"/>
      <w:r w:rsidR="007261C5">
        <w:rPr>
          <w:rFonts w:ascii="Times New Roman" w:eastAsia="Times New Roman" w:hAnsi="Times New Roman" w:cs="Times New Roman"/>
          <w:sz w:val="24"/>
          <w:szCs w:val="24"/>
          <w:lang w:eastAsia="hr-HR"/>
        </w:rPr>
        <w:t>Caboga</w:t>
      </w:r>
      <w:proofErr w:type="spellEnd"/>
      <w:r w:rsidR="00726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35D2E" w:rsidRDefault="00835D2E" w:rsidP="00835D2E">
      <w:pPr>
        <w:jc w:val="both"/>
        <w:rPr>
          <w:rFonts w:ascii="Arial" w:hAnsi="Arial" w:cs="Arial"/>
        </w:rPr>
      </w:pPr>
    </w:p>
    <w:p w:rsidR="00835D2E" w:rsidRDefault="00835D2E" w:rsidP="00835D2E">
      <w:pPr>
        <w:jc w:val="both"/>
        <w:rPr>
          <w:rFonts w:ascii="Arial" w:hAnsi="Arial" w:cs="Arial"/>
        </w:rPr>
      </w:pPr>
    </w:p>
    <w:p w:rsidR="004D24CE" w:rsidRDefault="004D24CE" w:rsidP="004D24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Izvještaj o prihodima i rashodima prema izvorima financiranja</w:t>
      </w:r>
      <w:r>
        <w:rPr>
          <w:rFonts w:ascii="Arial" w:hAnsi="Arial" w:cs="Arial"/>
        </w:rPr>
        <w:t xml:space="preserve"> podijeljeni su na sljedeće skupine:</w:t>
      </w:r>
    </w:p>
    <w:tbl>
      <w:tblPr>
        <w:tblW w:w="9092" w:type="dxa"/>
        <w:tblInd w:w="-5" w:type="dxa"/>
        <w:tblLook w:val="04A0" w:firstRow="1" w:lastRow="0" w:firstColumn="1" w:lastColumn="0" w:noHBand="0" w:noVBand="1"/>
      </w:tblPr>
      <w:tblGrid>
        <w:gridCol w:w="9092"/>
      </w:tblGrid>
      <w:tr w:rsidR="004D24CE" w:rsidRPr="004D24CE" w:rsidTr="00D145F3">
        <w:trPr>
          <w:trHeight w:val="318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: 11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Opći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prihodi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primici</w:t>
            </w:r>
            <w:proofErr w:type="spellEnd"/>
          </w:p>
        </w:tc>
      </w:tr>
      <w:tr w:rsidR="004D24CE" w:rsidRPr="004D24CE" w:rsidTr="00D145F3">
        <w:trPr>
          <w:trHeight w:val="477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: 31</w:t>
            </w:r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(41)</w:t>
            </w:r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Potpore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decentralizirane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izdatke</w:t>
            </w:r>
            <w:proofErr w:type="spellEnd"/>
          </w:p>
        </w:tc>
      </w:tr>
      <w:tr w:rsidR="004D24CE" w:rsidRPr="004D24CE" w:rsidTr="00D145F3">
        <w:trPr>
          <w:trHeight w:val="477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: 25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Vlastiti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prihodi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proračunskih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korisnika</w:t>
            </w:r>
            <w:proofErr w:type="spellEnd"/>
          </w:p>
        </w:tc>
      </w:tr>
      <w:tr w:rsidR="004D24CE" w:rsidRPr="004D24CE" w:rsidTr="00D145F3">
        <w:trPr>
          <w:trHeight w:val="636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: 49</w:t>
            </w:r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(59)</w:t>
            </w:r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Pomoći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državnog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proračuna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plaće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ostale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rashode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za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zaposlene</w:t>
            </w:r>
            <w:proofErr w:type="spellEnd"/>
          </w:p>
        </w:tc>
      </w:tr>
      <w:tr w:rsidR="004D24CE" w:rsidRPr="004D24CE" w:rsidTr="00D145F3">
        <w:trPr>
          <w:trHeight w:val="166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44 </w:t>
            </w:r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(54) </w:t>
            </w:r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EU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fondovi</w:t>
            </w:r>
            <w:proofErr w:type="spellEnd"/>
          </w:p>
        </w:tc>
      </w:tr>
      <w:tr w:rsidR="004D24CE" w:rsidRPr="004D24CE" w:rsidTr="00D145F3">
        <w:trPr>
          <w:trHeight w:val="318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42 </w:t>
            </w:r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(</w:t>
            </w:r>
            <w:proofErr w:type="gramStart"/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52)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namjenske</w:t>
            </w:r>
            <w:proofErr w:type="spellEnd"/>
            <w:proofErr w:type="gram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pomoći</w:t>
            </w:r>
            <w:proofErr w:type="spellEnd"/>
          </w:p>
        </w:tc>
      </w:tr>
      <w:tr w:rsidR="004D24CE" w:rsidRPr="004D24CE" w:rsidTr="00D145F3">
        <w:trPr>
          <w:trHeight w:val="636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4CE" w:rsidRPr="004D24CE" w:rsidRDefault="004D24CE" w:rsidP="004D24C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Izvor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: 55</w:t>
            </w:r>
            <w:r w:rsidR="00D145F3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(65)</w:t>
            </w:r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Donacije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ostali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namjenski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prihodi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proračunskih</w:t>
            </w:r>
            <w:proofErr w:type="spellEnd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D24CE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n-GB" w:eastAsia="en-GB"/>
              </w:rPr>
              <w:t>korisnika</w:t>
            </w:r>
            <w:proofErr w:type="spellEnd"/>
          </w:p>
        </w:tc>
      </w:tr>
    </w:tbl>
    <w:p w:rsidR="00835D2E" w:rsidRDefault="00835D2E" w:rsidP="00835D2E">
      <w:pPr>
        <w:jc w:val="both"/>
        <w:rPr>
          <w:rFonts w:ascii="Arial" w:hAnsi="Arial" w:cs="Arial"/>
        </w:rPr>
      </w:pPr>
    </w:p>
    <w:p w:rsidR="007261C5" w:rsidRDefault="007261C5" w:rsidP="00835D2E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F804A6" wp14:editId="71D71BB5">
            <wp:extent cx="5181600" cy="3375660"/>
            <wp:effectExtent l="0" t="0" r="0" b="1524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E2328446-BBA9-47BF-B430-7668914455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61C5" w:rsidRPr="00971522" w:rsidRDefault="00971522" w:rsidP="00835D2E">
      <w:pPr>
        <w:jc w:val="both"/>
        <w:rPr>
          <w:rFonts w:cstheme="minorHAnsi"/>
          <w:i/>
          <w:sz w:val="18"/>
          <w:szCs w:val="18"/>
        </w:rPr>
      </w:pPr>
      <w:r w:rsidRPr="00971522">
        <w:rPr>
          <w:rFonts w:cstheme="minorHAnsi"/>
          <w:i/>
          <w:sz w:val="18"/>
          <w:szCs w:val="18"/>
        </w:rPr>
        <w:t>Polugodišnji rashodi po izvorima ( usporedba 2024./2025.)</w:t>
      </w:r>
    </w:p>
    <w:p w:rsidR="007261C5" w:rsidRDefault="007261C5" w:rsidP="00835D2E">
      <w:pPr>
        <w:jc w:val="both"/>
        <w:rPr>
          <w:rFonts w:ascii="Arial" w:hAnsi="Arial" w:cs="Arial"/>
        </w:rPr>
      </w:pPr>
    </w:p>
    <w:p w:rsidR="00835D2E" w:rsidRDefault="00835D2E" w:rsidP="00835D2E">
      <w:pPr>
        <w:jc w:val="both"/>
        <w:rPr>
          <w:rFonts w:ascii="Arial" w:hAnsi="Arial" w:cs="Arial"/>
        </w:rPr>
      </w:pPr>
    </w:p>
    <w:p w:rsidR="00D145F3" w:rsidRPr="00D145F3" w:rsidRDefault="00D145F3" w:rsidP="00D145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5F3">
        <w:rPr>
          <w:rFonts w:ascii="Times New Roman" w:hAnsi="Times New Roman" w:cs="Times New Roman"/>
          <w:b/>
          <w:bCs/>
          <w:sz w:val="24"/>
          <w:szCs w:val="24"/>
        </w:rPr>
        <w:t>Izvještaj o rashodima prema funkcijskoj klasifikaciji</w:t>
      </w:r>
    </w:p>
    <w:p w:rsidR="00D145F3" w:rsidRPr="00D145F3" w:rsidRDefault="00D145F3" w:rsidP="00D1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Ukupni rashodi poslovanja razreda 3 i rashodi za nabavu nefinancijske imovine razreda 4 prema funkcijskoj klasifikaciji razvrstani su u klasu 09 Obrazovanje (podskupine 091 predškolsko i osnovnoškolsko obrazovanje).</w:t>
      </w:r>
    </w:p>
    <w:p w:rsidR="00D145F3" w:rsidRPr="00D145F3" w:rsidRDefault="00D145F3" w:rsidP="00D1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>Pod 091 Predškolsko i osnovnoškolsko obrazovanje -rashodi bez dodatnih usluga  u obrazovanju za normalno funkcioniranje škole.</w:t>
      </w:r>
    </w:p>
    <w:p w:rsidR="00D145F3" w:rsidRDefault="00D145F3" w:rsidP="00D1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Za prvo polugodište 2025. godine iznosi 868.794,46 </w:t>
      </w:r>
      <w:proofErr w:type="spellStart"/>
      <w:r w:rsidRPr="00D145F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71522">
        <w:rPr>
          <w:rFonts w:ascii="Times New Roman" w:hAnsi="Times New Roman" w:cs="Times New Roman"/>
          <w:sz w:val="24"/>
          <w:szCs w:val="24"/>
        </w:rPr>
        <w:t>.</w:t>
      </w:r>
    </w:p>
    <w:p w:rsidR="00971522" w:rsidRDefault="00971522" w:rsidP="00D1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D2E" w:rsidRDefault="00835D2E" w:rsidP="00835D2E">
      <w:pPr>
        <w:jc w:val="both"/>
        <w:rPr>
          <w:rFonts w:ascii="Arial" w:hAnsi="Arial" w:cs="Arial"/>
        </w:rPr>
      </w:pPr>
      <w:bookmarkStart w:id="2" w:name="_GoBack"/>
      <w:bookmarkEnd w:id="2"/>
    </w:p>
    <w:p w:rsidR="00835D2E" w:rsidRDefault="00835D2E" w:rsidP="00835D2E">
      <w:pPr>
        <w:jc w:val="both"/>
        <w:rPr>
          <w:rFonts w:ascii="Arial" w:hAnsi="Arial" w:cs="Arial"/>
        </w:rPr>
      </w:pPr>
    </w:p>
    <w:p w:rsidR="00835D2E" w:rsidRDefault="00835D2E" w:rsidP="00835D2E">
      <w:pPr>
        <w:jc w:val="both"/>
        <w:rPr>
          <w:rFonts w:ascii="Arial" w:hAnsi="Arial" w:cs="Arial"/>
        </w:rPr>
      </w:pPr>
    </w:p>
    <w:p w:rsidR="00835D2E" w:rsidRDefault="00835D2E" w:rsidP="00835D2E">
      <w:pPr>
        <w:jc w:val="both"/>
        <w:rPr>
          <w:rFonts w:ascii="Arial" w:hAnsi="Arial" w:cs="Arial"/>
        </w:rPr>
      </w:pPr>
    </w:p>
    <w:p w:rsidR="002357C3" w:rsidRDefault="002357C3"/>
    <w:sectPr w:rsidR="00235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E"/>
    <w:rsid w:val="002357C3"/>
    <w:rsid w:val="004D24CE"/>
    <w:rsid w:val="0051522A"/>
    <w:rsid w:val="007261C5"/>
    <w:rsid w:val="00801347"/>
    <w:rsid w:val="00835D2E"/>
    <w:rsid w:val="00855B51"/>
    <w:rsid w:val="00971522"/>
    <w:rsid w:val="00D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737"/>
  <w15:chartTrackingRefBased/>
  <w15:docId w15:val="{05EC348B-3A06-4B1F-8A88-A1E258BA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D2E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4667">
    <w:name w:val="box_474667"/>
    <w:basedOn w:val="Normal"/>
    <w:rsid w:val="0083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83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PO IZVORIMA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List1!$B$5</c:f>
              <c:strCache>
                <c:ptCount val="1"/>
                <c:pt idx="0">
                  <c:v>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List1!$A$6:$A$12</c:f>
              <c:strCache>
                <c:ptCount val="7"/>
                <c:pt idx="0">
                  <c:v>Izvor: 11 Opći prihodi i primici</c:v>
                </c:pt>
                <c:pt idx="1">
                  <c:v>Izvor: 31 Potpore za decentralizirane izdatke</c:v>
                </c:pt>
                <c:pt idx="2">
                  <c:v>Izvor: 25 Vlastiti prihodi proračunskih korisnika</c:v>
                </c:pt>
                <c:pt idx="3">
                  <c:v>Izvor: 49 Pomoći iz državnog proračuna za plaće te ostale rashode za zaposlene</c:v>
                </c:pt>
                <c:pt idx="4">
                  <c:v>Izvor 44 EU fondovi</c:v>
                </c:pt>
                <c:pt idx="5">
                  <c:v>Izvor 42 namjenske pomoći</c:v>
                </c:pt>
                <c:pt idx="6">
                  <c:v>Izvor: 55 Donacije i ostali namjenski prihodi proračunskih korisnika</c:v>
                </c:pt>
              </c:strCache>
            </c:strRef>
          </c:cat>
          <c:val>
            <c:numRef>
              <c:f>List1!$B$6:$B$12</c:f>
              <c:numCache>
                <c:formatCode>#,##0.00</c:formatCode>
                <c:ptCount val="7"/>
                <c:pt idx="0">
                  <c:v>59844.160000000003</c:v>
                </c:pt>
                <c:pt idx="1">
                  <c:v>51329.88</c:v>
                </c:pt>
                <c:pt idx="2">
                  <c:v>141.11000000000001</c:v>
                </c:pt>
                <c:pt idx="3">
                  <c:v>488800.97</c:v>
                </c:pt>
                <c:pt idx="4">
                  <c:v>26762.560000000001</c:v>
                </c:pt>
                <c:pt idx="5">
                  <c:v>70.05</c:v>
                </c:pt>
                <c:pt idx="6">
                  <c:v>540771.85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6B-452C-B2E2-5687B564C7EF}"/>
            </c:ext>
          </c:extLst>
        </c:ser>
        <c:ser>
          <c:idx val="1"/>
          <c:order val="1"/>
          <c:tx>
            <c:strRef>
              <c:f>List1!$C$5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List1!$A$6:$A$12</c:f>
              <c:strCache>
                <c:ptCount val="7"/>
                <c:pt idx="0">
                  <c:v>Izvor: 11 Opći prihodi i primici</c:v>
                </c:pt>
                <c:pt idx="1">
                  <c:v>Izvor: 31 Potpore za decentralizirane izdatke</c:v>
                </c:pt>
                <c:pt idx="2">
                  <c:v>Izvor: 25 Vlastiti prihodi proračunskih korisnika</c:v>
                </c:pt>
                <c:pt idx="3">
                  <c:v>Izvor: 49 Pomoći iz državnog proračuna za plaće te ostale rashode za zaposlene</c:v>
                </c:pt>
                <c:pt idx="4">
                  <c:v>Izvor 44 EU fondovi</c:v>
                </c:pt>
                <c:pt idx="5">
                  <c:v>Izvor 42 namjenske pomoći</c:v>
                </c:pt>
                <c:pt idx="6">
                  <c:v>Izvor: 55 Donacije i ostali namjenski prihodi proračunskih korisnika</c:v>
                </c:pt>
              </c:strCache>
            </c:strRef>
          </c:cat>
          <c:val>
            <c:numRef>
              <c:f>List1!$C$6:$C$12</c:f>
            </c:numRef>
          </c:val>
          <c:extLst>
            <c:ext xmlns:c16="http://schemas.microsoft.com/office/drawing/2014/chart" uri="{C3380CC4-5D6E-409C-BE32-E72D297353CC}">
              <c16:uniqueId val="{00000001-6D6B-452C-B2E2-5687B564C7EF}"/>
            </c:ext>
          </c:extLst>
        </c:ser>
        <c:ser>
          <c:idx val="2"/>
          <c:order val="2"/>
          <c:tx>
            <c:strRef>
              <c:f>List1!$D$5</c:f>
              <c:strCache>
                <c:ptCount val="1"/>
                <c:pt idx="0">
                  <c:v>2025.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List1!$A$6:$A$12</c:f>
              <c:strCache>
                <c:ptCount val="7"/>
                <c:pt idx="0">
                  <c:v>Izvor: 11 Opći prihodi i primici</c:v>
                </c:pt>
                <c:pt idx="1">
                  <c:v>Izvor: 31 Potpore za decentralizirane izdatke</c:v>
                </c:pt>
                <c:pt idx="2">
                  <c:v>Izvor: 25 Vlastiti prihodi proračunskih korisnika</c:v>
                </c:pt>
                <c:pt idx="3">
                  <c:v>Izvor: 49 Pomoći iz državnog proračuna za plaće te ostale rashode za zaposlene</c:v>
                </c:pt>
                <c:pt idx="4">
                  <c:v>Izvor 44 EU fondovi</c:v>
                </c:pt>
                <c:pt idx="5">
                  <c:v>Izvor 42 namjenske pomoći</c:v>
                </c:pt>
                <c:pt idx="6">
                  <c:v>Izvor: 55 Donacije i ostali namjenski prihodi proračunskih korisnika</c:v>
                </c:pt>
              </c:strCache>
            </c:strRef>
          </c:cat>
          <c:val>
            <c:numRef>
              <c:f>List1!$D$6:$D$12</c:f>
              <c:numCache>
                <c:formatCode>#,##0.00</c:formatCode>
                <c:ptCount val="7"/>
                <c:pt idx="0">
                  <c:v>117569.58</c:v>
                </c:pt>
                <c:pt idx="1">
                  <c:v>51279.16</c:v>
                </c:pt>
                <c:pt idx="3">
                  <c:v>630536.27</c:v>
                </c:pt>
                <c:pt idx="4">
                  <c:v>24312.19</c:v>
                </c:pt>
                <c:pt idx="5">
                  <c:v>70.36</c:v>
                </c:pt>
                <c:pt idx="6">
                  <c:v>43656.2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6B-452C-B2E2-5687B564C7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813820895"/>
        <c:axId val="816120991"/>
      </c:barChart>
      <c:catAx>
        <c:axId val="813820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120991"/>
        <c:crosses val="autoZero"/>
        <c:auto val="1"/>
        <c:lblAlgn val="ctr"/>
        <c:lblOffset val="100"/>
        <c:noMultiLvlLbl val="0"/>
      </c:catAx>
      <c:valAx>
        <c:axId val="8161209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3820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lucijana ljubenko</dc:creator>
  <cp:keywords/>
  <dc:description/>
  <cp:lastModifiedBy>lucijana ljubenko</cp:lastModifiedBy>
  <cp:revision>3</cp:revision>
  <dcterms:created xsi:type="dcterms:W3CDTF">2025-07-14T11:31:00Z</dcterms:created>
  <dcterms:modified xsi:type="dcterms:W3CDTF">2025-07-29T09:20:00Z</dcterms:modified>
</cp:coreProperties>
</file>